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4F09D" w14:textId="77777777" w:rsidR="0009173E" w:rsidRDefault="0009173E" w:rsidP="0009173E">
      <w:pPr>
        <w:pStyle w:val="NoSpacing"/>
        <w:jc w:val="center"/>
        <w:rPr>
          <w:rFonts w:ascii="Cambria" w:hAnsi="Cambria"/>
          <w:sz w:val="24"/>
          <w:szCs w:val="24"/>
        </w:rPr>
      </w:pPr>
      <w:r w:rsidRPr="00BC0D6B">
        <w:rPr>
          <w:noProof/>
          <w:sz w:val="20"/>
          <w:szCs w:val="20"/>
        </w:rPr>
        <w:drawing>
          <wp:inline distT="0" distB="0" distL="0" distR="0" wp14:anchorId="2CC0C037" wp14:editId="799AC8C1">
            <wp:extent cx="3235960" cy="1099476"/>
            <wp:effectExtent l="0" t="0" r="0" b="0"/>
            <wp:docPr id="5" name="Picture 1" descr="Shared Docs:Public:Sister Organisations:CLC Tas:CLCLogos:CLCTa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 Docs:Public:Sister Organisations:CLC Tas:CLCLogos:CLCTas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7972" cy="1100160"/>
                    </a:xfrm>
                    <a:prstGeom prst="rect">
                      <a:avLst/>
                    </a:prstGeom>
                    <a:noFill/>
                    <a:ln>
                      <a:noFill/>
                    </a:ln>
                  </pic:spPr>
                </pic:pic>
              </a:graphicData>
            </a:graphic>
          </wp:inline>
        </w:drawing>
      </w:r>
    </w:p>
    <w:p w14:paraId="7DAF7200" w14:textId="77777777" w:rsidR="0009173E" w:rsidRPr="00255FAD" w:rsidRDefault="0009173E" w:rsidP="0009173E">
      <w:pPr>
        <w:pStyle w:val="NoSpacing"/>
        <w:rPr>
          <w:rFonts w:ascii="Cambria" w:hAnsi="Cambria"/>
          <w:sz w:val="24"/>
          <w:szCs w:val="24"/>
        </w:rPr>
      </w:pPr>
    </w:p>
    <w:p w14:paraId="4EB56854" w14:textId="0A332173" w:rsidR="0009173E" w:rsidRPr="00255FAD" w:rsidRDefault="0009173E" w:rsidP="0009173E">
      <w:pPr>
        <w:pStyle w:val="NoSpacing"/>
        <w:rPr>
          <w:rFonts w:ascii="Cambria" w:hAnsi="Cambria"/>
          <w:color w:val="000000" w:themeColor="text1"/>
          <w:sz w:val="24"/>
          <w:szCs w:val="24"/>
        </w:rPr>
      </w:pPr>
      <w:r w:rsidRPr="00255FAD">
        <w:rPr>
          <w:rFonts w:ascii="Cambria" w:hAnsi="Cambria"/>
          <w:color w:val="000000" w:themeColor="text1"/>
          <w:sz w:val="24"/>
          <w:szCs w:val="24"/>
        </w:rPr>
        <w:t>7 August 2026</w:t>
      </w:r>
    </w:p>
    <w:p w14:paraId="207041CC" w14:textId="77777777" w:rsidR="0009173E" w:rsidRPr="00255FAD" w:rsidRDefault="0009173E" w:rsidP="0009173E">
      <w:pPr>
        <w:pStyle w:val="NoSpacing"/>
        <w:rPr>
          <w:rFonts w:ascii="Cambria" w:hAnsi="Cambria"/>
          <w:color w:val="000000" w:themeColor="text1"/>
          <w:sz w:val="24"/>
          <w:szCs w:val="24"/>
        </w:rPr>
      </w:pPr>
    </w:p>
    <w:p w14:paraId="5EAC19A9" w14:textId="77777777" w:rsidR="00B1126C" w:rsidRPr="00255FAD" w:rsidRDefault="00B1126C" w:rsidP="0009173E">
      <w:pPr>
        <w:pStyle w:val="NoSpacing"/>
        <w:rPr>
          <w:rFonts w:ascii="Cambria" w:hAnsi="Cambria"/>
          <w:sz w:val="24"/>
          <w:szCs w:val="24"/>
        </w:rPr>
      </w:pPr>
      <w:r w:rsidRPr="00255FAD">
        <w:rPr>
          <w:rFonts w:ascii="Cambria" w:hAnsi="Cambria"/>
          <w:sz w:val="24"/>
          <w:szCs w:val="24"/>
        </w:rPr>
        <w:t>Tasmanian Greens</w:t>
      </w:r>
    </w:p>
    <w:p w14:paraId="6E461589" w14:textId="653DE8DE" w:rsidR="00B1126C" w:rsidRPr="00255FAD" w:rsidRDefault="00B1126C" w:rsidP="0009173E">
      <w:pPr>
        <w:pStyle w:val="NoSpacing"/>
        <w:rPr>
          <w:rFonts w:ascii="Cambria" w:hAnsi="Cambria"/>
          <w:sz w:val="24"/>
          <w:szCs w:val="24"/>
        </w:rPr>
      </w:pPr>
      <w:r w:rsidRPr="00255FAD">
        <w:rPr>
          <w:rFonts w:ascii="Cambria" w:hAnsi="Cambria"/>
          <w:sz w:val="24"/>
          <w:szCs w:val="24"/>
        </w:rPr>
        <w:t>Parliament House</w:t>
      </w:r>
    </w:p>
    <w:p w14:paraId="3973C36C" w14:textId="77777777" w:rsidR="00B1126C" w:rsidRPr="00255FAD" w:rsidRDefault="00B1126C" w:rsidP="0009173E">
      <w:pPr>
        <w:pStyle w:val="NoSpacing"/>
        <w:rPr>
          <w:rFonts w:ascii="Cambria" w:hAnsi="Cambria"/>
          <w:sz w:val="24"/>
          <w:szCs w:val="24"/>
        </w:rPr>
      </w:pPr>
      <w:r w:rsidRPr="00255FAD">
        <w:rPr>
          <w:rFonts w:ascii="Cambria" w:hAnsi="Cambria"/>
          <w:sz w:val="24"/>
          <w:szCs w:val="24"/>
        </w:rPr>
        <w:t>Hobart TAS 7000</w:t>
      </w:r>
    </w:p>
    <w:p w14:paraId="46A8EE7C" w14:textId="0609FB8D" w:rsidR="0009173E" w:rsidRPr="00255FAD" w:rsidRDefault="00B1126C" w:rsidP="0009173E">
      <w:pPr>
        <w:pStyle w:val="NoSpacing"/>
        <w:rPr>
          <w:rFonts w:ascii="Cambria" w:hAnsi="Cambria"/>
          <w:sz w:val="24"/>
          <w:szCs w:val="24"/>
        </w:rPr>
      </w:pPr>
      <w:proofErr w:type="spellStart"/>
      <w:r w:rsidRPr="00255FAD">
        <w:rPr>
          <w:rFonts w:ascii="Cambria" w:hAnsi="Cambria"/>
          <w:sz w:val="24"/>
          <w:szCs w:val="24"/>
        </w:rPr>
        <w:t>attn:</w:t>
      </w:r>
      <w:proofErr w:type="spellEnd"/>
      <w:r w:rsidRPr="00255FAD">
        <w:rPr>
          <w:rFonts w:ascii="Cambria" w:hAnsi="Cambria"/>
          <w:sz w:val="24"/>
          <w:szCs w:val="24"/>
        </w:rPr>
        <w:t xml:space="preserve"> Leader of the Tasmanian Greens</w:t>
      </w:r>
      <w:r w:rsidR="0009173E" w:rsidRPr="00255FAD">
        <w:rPr>
          <w:rFonts w:ascii="Cambria" w:hAnsi="Cambria"/>
          <w:sz w:val="24"/>
          <w:szCs w:val="24"/>
        </w:rPr>
        <w:tab/>
      </w:r>
      <w:r w:rsidR="0009173E" w:rsidRPr="00255FAD">
        <w:rPr>
          <w:rFonts w:ascii="Cambria" w:hAnsi="Cambria"/>
          <w:sz w:val="24"/>
          <w:szCs w:val="24"/>
        </w:rPr>
        <w:tab/>
      </w:r>
      <w:r w:rsidR="0009173E" w:rsidRPr="00255FAD">
        <w:rPr>
          <w:rFonts w:ascii="Cambria" w:hAnsi="Cambria"/>
          <w:sz w:val="24"/>
          <w:szCs w:val="24"/>
        </w:rPr>
        <w:tab/>
      </w:r>
    </w:p>
    <w:p w14:paraId="59D1E389" w14:textId="0F6970C5" w:rsidR="0009173E" w:rsidRPr="00255FAD" w:rsidRDefault="0009173E" w:rsidP="00B1126C">
      <w:pPr>
        <w:pStyle w:val="NoSpacing"/>
        <w:ind w:left="3600" w:firstLine="720"/>
        <w:rPr>
          <w:rFonts w:ascii="Cambria" w:hAnsi="Cambria"/>
          <w:sz w:val="24"/>
          <w:szCs w:val="24"/>
        </w:rPr>
      </w:pPr>
      <w:r w:rsidRPr="00255FAD">
        <w:rPr>
          <w:rFonts w:ascii="Cambria" w:hAnsi="Cambria"/>
          <w:i/>
          <w:iCs/>
          <w:sz w:val="24"/>
          <w:szCs w:val="24"/>
        </w:rPr>
        <w:t xml:space="preserve">via email: </w:t>
      </w:r>
      <w:hyperlink r:id="rId8" w:history="1">
        <w:r w:rsidR="00D85688" w:rsidRPr="00255FAD">
          <w:rPr>
            <w:rStyle w:val="Hyperlink"/>
            <w:rFonts w:ascii="Cambria" w:hAnsi="Cambria"/>
            <w:i/>
            <w:iCs/>
            <w:sz w:val="24"/>
            <w:szCs w:val="24"/>
          </w:rPr>
          <w:t>greens@parliament.tas.gov.au</w:t>
        </w:r>
      </w:hyperlink>
      <w:r w:rsidR="00D85688" w:rsidRPr="00255FAD">
        <w:rPr>
          <w:rFonts w:ascii="Cambria" w:hAnsi="Cambria"/>
          <w:i/>
          <w:iCs/>
          <w:sz w:val="24"/>
          <w:szCs w:val="24"/>
        </w:rPr>
        <w:t xml:space="preserve"> </w:t>
      </w:r>
      <w:r w:rsidRPr="00255FAD">
        <w:rPr>
          <w:rFonts w:ascii="Cambria" w:hAnsi="Cambria"/>
          <w:i/>
          <w:iCs/>
          <w:sz w:val="24"/>
          <w:szCs w:val="24"/>
        </w:rPr>
        <w:t xml:space="preserve"> </w:t>
      </w:r>
    </w:p>
    <w:p w14:paraId="6412EC76" w14:textId="77777777" w:rsidR="0009173E" w:rsidRPr="00255FAD" w:rsidRDefault="0009173E" w:rsidP="0009173E">
      <w:pPr>
        <w:pStyle w:val="NoSpacing"/>
        <w:rPr>
          <w:rFonts w:ascii="Cambria" w:hAnsi="Cambria"/>
          <w:sz w:val="24"/>
          <w:szCs w:val="24"/>
        </w:rPr>
      </w:pPr>
    </w:p>
    <w:p w14:paraId="45066813" w14:textId="00886DEC" w:rsidR="0009173E" w:rsidRPr="00255FAD" w:rsidRDefault="0009173E" w:rsidP="0009173E">
      <w:pPr>
        <w:pStyle w:val="NoSpacing"/>
        <w:rPr>
          <w:rFonts w:ascii="Cambria" w:hAnsi="Cambria"/>
          <w:sz w:val="24"/>
          <w:szCs w:val="24"/>
        </w:rPr>
      </w:pPr>
      <w:r w:rsidRPr="00255FAD">
        <w:rPr>
          <w:rFonts w:ascii="Cambria" w:hAnsi="Cambria"/>
          <w:sz w:val="24"/>
          <w:szCs w:val="24"/>
        </w:rPr>
        <w:t xml:space="preserve">To Rosalie Woodruff MP, </w:t>
      </w:r>
    </w:p>
    <w:p w14:paraId="21D36863" w14:textId="47BE455A" w:rsidR="0009173E" w:rsidRPr="00255FAD" w:rsidRDefault="0009173E" w:rsidP="0009173E">
      <w:pPr>
        <w:pStyle w:val="NoSpacing"/>
        <w:rPr>
          <w:rFonts w:ascii="Cambria" w:hAnsi="Cambria"/>
          <w:sz w:val="24"/>
          <w:szCs w:val="24"/>
          <w:lang w:eastAsia="en-GB"/>
        </w:rPr>
      </w:pPr>
      <w:r w:rsidRPr="00255FAD">
        <w:rPr>
          <w:rFonts w:ascii="Cambria" w:hAnsi="Cambria"/>
          <w:b/>
          <w:bCs/>
          <w:noProof/>
          <w:sz w:val="24"/>
          <w:szCs w:val="24"/>
        </w:rPr>
        <mc:AlternateContent>
          <mc:Choice Requires="wps">
            <w:drawing>
              <wp:anchor distT="0" distB="0" distL="114300" distR="114300" simplePos="0" relativeHeight="251659264" behindDoc="0" locked="0" layoutInCell="1" allowOverlap="1" wp14:anchorId="42149EF5" wp14:editId="2C22E6CF">
                <wp:simplePos x="0" y="0"/>
                <wp:positionH relativeFrom="column">
                  <wp:posOffset>-7620</wp:posOffset>
                </wp:positionH>
                <wp:positionV relativeFrom="paragraph">
                  <wp:posOffset>237490</wp:posOffset>
                </wp:positionV>
                <wp:extent cx="6050280" cy="15240"/>
                <wp:effectExtent l="0" t="0" r="26670" b="22860"/>
                <wp:wrapNone/>
                <wp:docPr id="1" name="Straight Connector 1"/>
                <wp:cNvGraphicFramePr/>
                <a:graphic xmlns:a="http://schemas.openxmlformats.org/drawingml/2006/main">
                  <a:graphicData uri="http://schemas.microsoft.com/office/word/2010/wordprocessingShape">
                    <wps:wsp>
                      <wps:cNvCnPr/>
                      <wps:spPr>
                        <a:xfrm>
                          <a:off x="0" y="0"/>
                          <a:ext cx="60502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815C4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8.7pt" to="475.8pt,1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" strokecolor="black [3200]" strokeweight=".5pt">
                <v:stroke joinstyle="miter"/>
              </v:line>
            </w:pict>
          </mc:Fallback>
        </mc:AlternateContent>
      </w:r>
      <w:r w:rsidRPr="00255FAD">
        <w:rPr>
          <w:rFonts w:ascii="Cambria" w:hAnsi="Cambria"/>
          <w:b/>
          <w:bCs/>
          <w:sz w:val="24"/>
          <w:szCs w:val="24"/>
        </w:rPr>
        <w:t xml:space="preserve">Re: </w:t>
      </w:r>
      <w:r w:rsidRPr="00255FAD">
        <w:rPr>
          <w:rFonts w:ascii="Cambria" w:hAnsi="Cambria"/>
          <w:b/>
          <w:bCs/>
          <w:i/>
          <w:iCs/>
          <w:sz w:val="24"/>
          <w:szCs w:val="24"/>
        </w:rPr>
        <w:t>Conversion Practices Prohibition Bill 2026</w:t>
      </w:r>
    </w:p>
    <w:p w14:paraId="46585C61" w14:textId="77777777" w:rsidR="0009173E" w:rsidRPr="00255FAD" w:rsidRDefault="0009173E" w:rsidP="0009173E">
      <w:pPr>
        <w:pStyle w:val="NoSpacing"/>
        <w:rPr>
          <w:rFonts w:ascii="Cambria" w:hAnsi="Cambria"/>
          <w:b/>
          <w:bCs/>
          <w:sz w:val="24"/>
          <w:szCs w:val="24"/>
        </w:rPr>
      </w:pPr>
    </w:p>
    <w:p w14:paraId="7A844A1E" w14:textId="635B723F" w:rsidR="0009173E" w:rsidRPr="00255FAD" w:rsidRDefault="0009173E" w:rsidP="0009173E">
      <w:pPr>
        <w:pStyle w:val="NoSpacing"/>
        <w:jc w:val="both"/>
        <w:rPr>
          <w:rFonts w:ascii="Cambria" w:hAnsi="Cambria"/>
          <w:color w:val="000000" w:themeColor="text1"/>
          <w:sz w:val="24"/>
          <w:szCs w:val="24"/>
        </w:rPr>
      </w:pPr>
      <w:r w:rsidRPr="00255FAD">
        <w:rPr>
          <w:rFonts w:ascii="Cambria" w:hAnsi="Cambria"/>
          <w:color w:val="000000" w:themeColor="text1"/>
          <w:sz w:val="24"/>
          <w:szCs w:val="24"/>
        </w:rPr>
        <w:t xml:space="preserve">Community Legal Centres Tasmania (CLC Tas) welcomes the opportunity to provide comment on the </w:t>
      </w:r>
      <w:r w:rsidRPr="00255FAD">
        <w:rPr>
          <w:rFonts w:ascii="Cambria" w:hAnsi="Cambria"/>
          <w:i/>
          <w:iCs/>
          <w:sz w:val="24"/>
          <w:szCs w:val="24"/>
        </w:rPr>
        <w:t>Conversion Practices Prohibition Bill 2026</w:t>
      </w:r>
      <w:r w:rsidRPr="00255FAD">
        <w:rPr>
          <w:rFonts w:ascii="Cambria" w:hAnsi="Cambria"/>
          <w:color w:val="000000" w:themeColor="text1"/>
          <w:sz w:val="24"/>
          <w:szCs w:val="24"/>
        </w:rPr>
        <w:t xml:space="preserve"> (‘the Bill’).</w:t>
      </w:r>
      <w:r w:rsidRPr="00255FAD">
        <w:rPr>
          <w:rStyle w:val="FootnoteReference"/>
          <w:rFonts w:ascii="Cambria" w:eastAsiaTheme="majorEastAsia" w:hAnsi="Cambria"/>
          <w:iCs/>
          <w:color w:val="000000" w:themeColor="text1"/>
          <w:sz w:val="24"/>
          <w:szCs w:val="24"/>
        </w:rPr>
        <w:footnoteReference w:id="1"/>
      </w:r>
      <w:r w:rsidR="00463308" w:rsidRPr="00255FAD">
        <w:rPr>
          <w:rFonts w:ascii="Cambria" w:hAnsi="Cambria"/>
          <w:color w:val="000000" w:themeColor="text1"/>
          <w:sz w:val="24"/>
          <w:szCs w:val="24"/>
        </w:rPr>
        <w:t xml:space="preserve"> </w:t>
      </w:r>
      <w:r w:rsidRPr="00255FAD">
        <w:rPr>
          <w:rFonts w:ascii="Cambria" w:hAnsi="Cambria"/>
          <w:color w:val="000000" w:themeColor="text1"/>
          <w:sz w:val="24"/>
          <w:szCs w:val="24"/>
        </w:rPr>
        <w:t>We are strong supporters</w:t>
      </w:r>
      <w:r w:rsidR="00CF6E71" w:rsidRPr="00255FAD">
        <w:rPr>
          <w:rFonts w:ascii="Cambria" w:hAnsi="Cambria"/>
          <w:color w:val="000000" w:themeColor="text1"/>
          <w:sz w:val="24"/>
          <w:szCs w:val="24"/>
        </w:rPr>
        <w:t xml:space="preserve"> of a </w:t>
      </w:r>
      <w:r w:rsidR="00463308" w:rsidRPr="00255FAD">
        <w:rPr>
          <w:rFonts w:ascii="Cambria" w:hAnsi="Cambria"/>
          <w:color w:val="000000" w:themeColor="text1"/>
          <w:sz w:val="24"/>
          <w:szCs w:val="24"/>
        </w:rPr>
        <w:t xml:space="preserve">prohibition </w:t>
      </w:r>
      <w:r w:rsidR="00CF6E71" w:rsidRPr="00255FAD">
        <w:rPr>
          <w:rFonts w:ascii="Cambria" w:hAnsi="Cambria"/>
          <w:color w:val="000000" w:themeColor="text1"/>
          <w:sz w:val="24"/>
          <w:szCs w:val="24"/>
        </w:rPr>
        <w:t>on conversion practices</w:t>
      </w:r>
      <w:r w:rsidR="00463308" w:rsidRPr="00255FAD">
        <w:rPr>
          <w:rFonts w:ascii="Cambria" w:hAnsi="Cambria"/>
          <w:color w:val="000000" w:themeColor="text1"/>
          <w:sz w:val="24"/>
          <w:szCs w:val="24"/>
        </w:rPr>
        <w:t xml:space="preserve"> and strongly support the Bill.  </w:t>
      </w:r>
      <w:r w:rsidR="00CF6E71" w:rsidRPr="00255FAD">
        <w:rPr>
          <w:rFonts w:ascii="Cambria" w:hAnsi="Cambria"/>
          <w:color w:val="000000" w:themeColor="text1"/>
          <w:sz w:val="24"/>
          <w:szCs w:val="24"/>
        </w:rPr>
        <w:t xml:space="preserve"> </w:t>
      </w:r>
      <w:r w:rsidRPr="00255FAD">
        <w:rPr>
          <w:rFonts w:ascii="Cambria" w:hAnsi="Cambria"/>
          <w:color w:val="000000" w:themeColor="text1"/>
          <w:sz w:val="24"/>
          <w:szCs w:val="24"/>
        </w:rPr>
        <w:t xml:space="preserve"> </w:t>
      </w:r>
    </w:p>
    <w:p w14:paraId="21C44FA3" w14:textId="77777777" w:rsidR="0009173E" w:rsidRPr="00255FAD" w:rsidRDefault="0009173E" w:rsidP="0009173E">
      <w:pPr>
        <w:pStyle w:val="NoSpacing"/>
        <w:jc w:val="both"/>
        <w:rPr>
          <w:rFonts w:ascii="Cambria" w:hAnsi="Cambria"/>
          <w:sz w:val="24"/>
          <w:szCs w:val="24"/>
        </w:rPr>
      </w:pPr>
    </w:p>
    <w:p w14:paraId="032FD86A" w14:textId="77777777" w:rsidR="0009173E" w:rsidRPr="00255FAD" w:rsidRDefault="0009173E" w:rsidP="0009173E">
      <w:pPr>
        <w:pStyle w:val="NoSpacing"/>
        <w:jc w:val="both"/>
        <w:rPr>
          <w:rFonts w:ascii="Cambria" w:hAnsi="Cambria"/>
          <w:sz w:val="24"/>
          <w:szCs w:val="24"/>
        </w:rPr>
      </w:pPr>
      <w:r w:rsidRPr="00255FAD">
        <w:rPr>
          <w:rFonts w:ascii="Cambria" w:hAnsi="Cambria"/>
          <w:sz w:val="24"/>
          <w:szCs w:val="24"/>
        </w:rPr>
        <w:t xml:space="preserve">CLC Tas is the peak body representing the interests of nine community legal centres (CLCs) located through Tasmania. We are a member-based, independent, not-for-profit and incorporated organisation that advocates for law reform on a range of public interest matters aimed at improving access to justice, reducing discrimination and protecting and promoting human rights. </w:t>
      </w:r>
    </w:p>
    <w:p w14:paraId="5D8E16D3" w14:textId="77777777" w:rsidR="0009173E" w:rsidRPr="00255FAD" w:rsidRDefault="0009173E" w:rsidP="0009173E">
      <w:pPr>
        <w:pStyle w:val="NoSpacing"/>
        <w:jc w:val="both"/>
        <w:rPr>
          <w:rFonts w:ascii="Cambria" w:hAnsi="Cambria"/>
          <w:sz w:val="24"/>
          <w:szCs w:val="24"/>
        </w:rPr>
      </w:pPr>
    </w:p>
    <w:p w14:paraId="2F0E7EF6" w14:textId="360412CF" w:rsidR="0009173E" w:rsidRPr="00255FAD" w:rsidRDefault="0009173E" w:rsidP="0009173E">
      <w:pPr>
        <w:rPr>
          <w:rFonts w:ascii="Cambria" w:hAnsi="Cambria"/>
          <w:b/>
          <w:bCs/>
        </w:rPr>
      </w:pPr>
      <w:r w:rsidRPr="00255FAD">
        <w:rPr>
          <w:rFonts w:ascii="Cambria" w:hAnsi="Cambria"/>
          <w:b/>
          <w:bCs/>
        </w:rPr>
        <w:t>B</w:t>
      </w:r>
      <w:r w:rsidR="00B1126C" w:rsidRPr="00255FAD">
        <w:rPr>
          <w:rFonts w:ascii="Cambria" w:hAnsi="Cambria"/>
          <w:b/>
          <w:bCs/>
        </w:rPr>
        <w:t>ackground</w:t>
      </w:r>
    </w:p>
    <w:p w14:paraId="4FC37B14" w14:textId="71EBBDA6" w:rsidR="0009173E" w:rsidRPr="00255FAD" w:rsidRDefault="0009173E" w:rsidP="0009173E">
      <w:pPr>
        <w:pStyle w:val="NoSpacing"/>
        <w:jc w:val="both"/>
        <w:rPr>
          <w:rFonts w:ascii="Cambria" w:hAnsi="Cambria"/>
          <w:color w:val="000000"/>
          <w:sz w:val="24"/>
          <w:szCs w:val="24"/>
        </w:rPr>
      </w:pPr>
      <w:r w:rsidRPr="00255FAD">
        <w:rPr>
          <w:rFonts w:ascii="Cambria" w:hAnsi="Cambria"/>
          <w:color w:val="000000"/>
          <w:sz w:val="24"/>
          <w:szCs w:val="24"/>
        </w:rPr>
        <w:t>In 2015 a joint statement issued by the World Health Organisation and 11 other United Nations agencies called on States around the world to protect LGBTI persons from “discrimination and violence” including “unethical and harmful so-called ‘therapies’ to change sexual orientation…”.</w:t>
      </w:r>
      <w:r w:rsidRPr="00255FAD">
        <w:rPr>
          <w:rStyle w:val="FootnoteReference"/>
          <w:rFonts w:ascii="Cambria" w:hAnsi="Cambria"/>
          <w:color w:val="000000"/>
          <w:sz w:val="24"/>
          <w:szCs w:val="24"/>
        </w:rPr>
        <w:footnoteReference w:id="2"/>
      </w:r>
      <w:r w:rsidRPr="00255FAD">
        <w:rPr>
          <w:rFonts w:ascii="Cambria" w:hAnsi="Cambria"/>
          <w:color w:val="000000"/>
          <w:sz w:val="24"/>
          <w:szCs w:val="24"/>
        </w:rPr>
        <w:t xml:space="preserve"> A year later, the UN Committee on the Rights of the Child urged States to “eliminate such practices”.</w:t>
      </w:r>
      <w:r w:rsidRPr="00255FAD">
        <w:rPr>
          <w:rStyle w:val="FootnoteReference"/>
          <w:rFonts w:ascii="Cambria" w:hAnsi="Cambria"/>
          <w:color w:val="000000"/>
          <w:sz w:val="24"/>
          <w:szCs w:val="24"/>
        </w:rPr>
        <w:footnoteReference w:id="3"/>
      </w:r>
      <w:r w:rsidRPr="00255FAD">
        <w:rPr>
          <w:rFonts w:ascii="Cambria" w:hAnsi="Cambria"/>
          <w:color w:val="000000"/>
          <w:sz w:val="24"/>
          <w:szCs w:val="24"/>
        </w:rPr>
        <w:t xml:space="preserve"> In Australia, the Australian Medical Association and the Australian Psychological Society both have position statements opposing conversion practices.</w:t>
      </w:r>
      <w:r w:rsidRPr="00255FAD">
        <w:rPr>
          <w:rStyle w:val="FootnoteReference"/>
          <w:rFonts w:ascii="Cambria" w:hAnsi="Cambria"/>
          <w:color w:val="000000"/>
          <w:sz w:val="24"/>
          <w:szCs w:val="24"/>
        </w:rPr>
        <w:footnoteReference w:id="4"/>
      </w:r>
    </w:p>
    <w:p w14:paraId="645B4237" w14:textId="77777777" w:rsidR="0009173E" w:rsidRPr="00255FAD" w:rsidRDefault="0009173E" w:rsidP="0009173E">
      <w:pPr>
        <w:pStyle w:val="NoSpacing"/>
        <w:jc w:val="both"/>
        <w:rPr>
          <w:rFonts w:ascii="Cambria" w:hAnsi="Cambria"/>
          <w:color w:val="000000"/>
          <w:sz w:val="24"/>
          <w:szCs w:val="24"/>
        </w:rPr>
      </w:pPr>
    </w:p>
    <w:p w14:paraId="5935A523" w14:textId="77777777" w:rsidR="0009173E" w:rsidRPr="00255FAD" w:rsidRDefault="0009173E" w:rsidP="0009173E">
      <w:pPr>
        <w:pStyle w:val="NoSpacing"/>
        <w:jc w:val="both"/>
        <w:rPr>
          <w:rFonts w:ascii="Cambria" w:hAnsi="Cambria"/>
          <w:color w:val="000000"/>
          <w:sz w:val="24"/>
          <w:szCs w:val="24"/>
        </w:rPr>
      </w:pPr>
      <w:r w:rsidRPr="00255FAD">
        <w:rPr>
          <w:rFonts w:ascii="Cambria" w:hAnsi="Cambria" w:cs="Arial"/>
          <w:color w:val="000000" w:themeColor="text1"/>
          <w:sz w:val="24"/>
          <w:szCs w:val="24"/>
        </w:rPr>
        <w:t>The</w:t>
      </w:r>
      <w:r w:rsidRPr="00255FAD">
        <w:rPr>
          <w:rFonts w:ascii="Cambria" w:hAnsi="Cambria"/>
          <w:color w:val="000000"/>
          <w:sz w:val="24"/>
          <w:szCs w:val="24"/>
        </w:rPr>
        <w:t xml:space="preserve"> United Nations Independent Expert on protection against violence and discrimination based on sexual orientation and gender identity has defined conversion therapy as follows:</w:t>
      </w:r>
      <w:r w:rsidRPr="00255FAD">
        <w:rPr>
          <w:rStyle w:val="FootnoteReference"/>
          <w:rFonts w:ascii="Cambria" w:hAnsi="Cambria"/>
          <w:color w:val="000000"/>
          <w:sz w:val="24"/>
          <w:szCs w:val="24"/>
        </w:rPr>
        <w:footnoteReference w:id="5"/>
      </w:r>
    </w:p>
    <w:p w14:paraId="7A0D0C79" w14:textId="77777777" w:rsidR="0009173E" w:rsidRPr="00255FAD" w:rsidRDefault="0009173E" w:rsidP="0009173E">
      <w:pPr>
        <w:pStyle w:val="NoSpacing"/>
        <w:rPr>
          <w:rFonts w:ascii="Cambria" w:hAnsi="Cambria"/>
          <w:color w:val="000000"/>
          <w:sz w:val="24"/>
          <w:szCs w:val="24"/>
        </w:rPr>
      </w:pPr>
    </w:p>
    <w:p w14:paraId="61A47936" w14:textId="77777777" w:rsidR="0009173E" w:rsidRPr="00255FAD" w:rsidRDefault="0009173E" w:rsidP="0009173E">
      <w:pPr>
        <w:pStyle w:val="NoSpacing"/>
        <w:ind w:left="720"/>
        <w:jc w:val="both"/>
        <w:rPr>
          <w:rFonts w:ascii="Cambria" w:hAnsi="Cambria"/>
          <w:color w:val="000000"/>
          <w:sz w:val="24"/>
          <w:szCs w:val="24"/>
        </w:rPr>
      </w:pPr>
      <w:r w:rsidRPr="00255FAD">
        <w:rPr>
          <w:rFonts w:ascii="Cambria" w:hAnsi="Cambria"/>
          <w:sz w:val="24"/>
          <w:szCs w:val="24"/>
        </w:rPr>
        <w:t xml:space="preserve">‘Conversion therapy’ is used as an umbrella term to describe interventions of a wide-ranging nature, all of which are premised on the belief that a person’s sexual orientation and gender identity, including gender expression, can and should be changed or suppressed when they do not fall under what other actors in a given setting and time perceive as the desirable norm, in particular when the person is lesbian, gay, bisexual, trans or gender diverse. </w:t>
      </w:r>
    </w:p>
    <w:p w14:paraId="7DCB052C" w14:textId="77777777" w:rsidR="0009173E" w:rsidRPr="00255FAD" w:rsidRDefault="0009173E" w:rsidP="0009173E">
      <w:pPr>
        <w:pStyle w:val="NoSpacing"/>
        <w:jc w:val="both"/>
        <w:rPr>
          <w:rFonts w:ascii="Cambria" w:hAnsi="Cambria"/>
          <w:color w:val="000000" w:themeColor="text1"/>
          <w:sz w:val="24"/>
          <w:szCs w:val="24"/>
        </w:rPr>
      </w:pPr>
    </w:p>
    <w:p w14:paraId="01E49A50" w14:textId="5835E142" w:rsidR="0009173E" w:rsidRPr="00255FAD" w:rsidRDefault="0009173E" w:rsidP="0009173E">
      <w:pPr>
        <w:pStyle w:val="NoSpacing"/>
        <w:jc w:val="both"/>
        <w:rPr>
          <w:rFonts w:ascii="Cambria" w:hAnsi="Cambria"/>
          <w:color w:val="000000"/>
          <w:sz w:val="24"/>
          <w:szCs w:val="24"/>
        </w:rPr>
      </w:pPr>
      <w:r w:rsidRPr="00255FAD">
        <w:rPr>
          <w:rFonts w:ascii="Cambria" w:hAnsi="Cambria" w:cs="Arial"/>
          <w:color w:val="000000" w:themeColor="text1"/>
          <w:sz w:val="24"/>
          <w:szCs w:val="24"/>
        </w:rPr>
        <w:t xml:space="preserve">We strongly believe that Australia’s ratification of human rights instruments means that the Tasmanian Government has both an obligation and duty to statutorily protect those rights at a local level. As the </w:t>
      </w:r>
      <w:r w:rsidRPr="00255FAD">
        <w:rPr>
          <w:rFonts w:ascii="Cambria" w:hAnsi="Cambria"/>
          <w:color w:val="000000"/>
          <w:sz w:val="24"/>
          <w:szCs w:val="24"/>
        </w:rPr>
        <w:t>United Nations Independent Expert on protection against violence and discrimination based on sexual orientation and gender identity has noted, conversion practices violate the right of persons to “</w:t>
      </w:r>
      <w:r w:rsidRPr="00255FAD">
        <w:rPr>
          <w:rFonts w:ascii="Cambria" w:hAnsi="Cambria"/>
          <w:sz w:val="24"/>
          <w:szCs w:val="24"/>
        </w:rPr>
        <w:t>enjoy the highest attainable standard of physical and mental health”.</w:t>
      </w:r>
      <w:r w:rsidRPr="00255FAD">
        <w:rPr>
          <w:rStyle w:val="FootnoteReference"/>
          <w:rFonts w:ascii="Cambria" w:hAnsi="Cambria"/>
          <w:sz w:val="24"/>
          <w:szCs w:val="24"/>
        </w:rPr>
        <w:footnoteReference w:id="6"/>
      </w:r>
      <w:r w:rsidRPr="00255FAD">
        <w:rPr>
          <w:rFonts w:ascii="Cambria" w:hAnsi="Cambria"/>
          <w:sz w:val="24"/>
          <w:szCs w:val="24"/>
        </w:rPr>
        <w:t xml:space="preserve"> Other rights that are violated include freedom from discrimination and the right to privacy.</w:t>
      </w:r>
      <w:r w:rsidRPr="00255FAD">
        <w:rPr>
          <w:rStyle w:val="FootnoteReference"/>
          <w:rFonts w:ascii="Cambria" w:hAnsi="Cambria"/>
          <w:sz w:val="24"/>
          <w:szCs w:val="24"/>
        </w:rPr>
        <w:footnoteReference w:id="7"/>
      </w:r>
      <w:r w:rsidRPr="00255FAD">
        <w:rPr>
          <w:rFonts w:ascii="Cambria" w:hAnsi="Cambria"/>
          <w:sz w:val="24"/>
          <w:szCs w:val="24"/>
        </w:rPr>
        <w:t xml:space="preserve"> In relation to children, article </w:t>
      </w:r>
      <w:r w:rsidRPr="00255FAD">
        <w:rPr>
          <w:rFonts w:ascii="Cambria" w:hAnsi="Cambria"/>
          <w:color w:val="000000"/>
          <w:sz w:val="24"/>
          <w:szCs w:val="24"/>
        </w:rPr>
        <w:t xml:space="preserve">3(1) of the </w:t>
      </w:r>
      <w:r w:rsidRPr="00255FAD">
        <w:rPr>
          <w:rFonts w:ascii="Cambria" w:hAnsi="Cambria"/>
          <w:i/>
          <w:iCs/>
          <w:color w:val="000000"/>
          <w:sz w:val="24"/>
          <w:szCs w:val="24"/>
        </w:rPr>
        <w:t>Convention on the Rights of the Child</w:t>
      </w:r>
      <w:r w:rsidRPr="00255FAD">
        <w:rPr>
          <w:rFonts w:ascii="Cambria" w:hAnsi="Cambria"/>
          <w:color w:val="000000"/>
          <w:sz w:val="24"/>
          <w:szCs w:val="24"/>
        </w:rPr>
        <w:t xml:space="preserve"> enshrines the principle that “in all </w:t>
      </w:r>
      <w:r w:rsidRPr="00255FAD">
        <w:rPr>
          <w:rFonts w:ascii="Cambria" w:hAnsi="Cambria"/>
          <w:color w:val="000000"/>
          <w:sz w:val="24"/>
          <w:szCs w:val="24"/>
          <w:shd w:val="clear" w:color="auto" w:fill="FFFFFF"/>
        </w:rPr>
        <w:t xml:space="preserve">actions concerning children, whether undertaken by public or private social welfare institutions, courts of law, administrative authorities or legislative bodies, the best interests of the child shall be a primary consideration”. And, in its commentary about the Convention of the Rights of the Child, there was an emphasis on </w:t>
      </w:r>
      <w:r w:rsidRPr="00255FAD">
        <w:rPr>
          <w:rFonts w:ascii="Cambria" w:hAnsi="Cambria"/>
          <w:color w:val="000000"/>
          <w:sz w:val="24"/>
          <w:szCs w:val="24"/>
        </w:rPr>
        <w:t>“the rights of all adolescents to freedom of expression and respect for their physical and psychological integrity, gender identity and emerging autonomy” and a condemnation of “the imposition of so-called ‘treatments’ to try to change sexual orientation”.</w:t>
      </w:r>
      <w:r w:rsidRPr="00255FAD">
        <w:rPr>
          <w:rStyle w:val="FootnoteReference"/>
          <w:rFonts w:ascii="Cambria" w:hAnsi="Cambria"/>
          <w:color w:val="000000"/>
          <w:sz w:val="24"/>
          <w:szCs w:val="24"/>
        </w:rPr>
        <w:footnoteReference w:id="8"/>
      </w:r>
    </w:p>
    <w:p w14:paraId="4BF11D1E" w14:textId="77777777" w:rsidR="00CF6E71" w:rsidRPr="00255FAD" w:rsidRDefault="00CF6E71" w:rsidP="0009173E">
      <w:pPr>
        <w:pStyle w:val="NoSpacing"/>
        <w:jc w:val="both"/>
        <w:rPr>
          <w:rFonts w:ascii="Cambria" w:hAnsi="Cambria"/>
          <w:color w:val="000000"/>
          <w:sz w:val="24"/>
          <w:szCs w:val="24"/>
        </w:rPr>
      </w:pPr>
    </w:p>
    <w:p w14:paraId="68C50A04" w14:textId="77777777" w:rsidR="00CF6E71" w:rsidRPr="00255FAD" w:rsidRDefault="00CF6E71" w:rsidP="00CF6E71">
      <w:pPr>
        <w:ind w:right="-347"/>
        <w:jc w:val="both"/>
        <w:rPr>
          <w:rFonts w:ascii="Cambria" w:hAnsi="Cambria"/>
          <w:b/>
          <w:bCs/>
          <w:color w:val="000000" w:themeColor="text1"/>
        </w:rPr>
      </w:pPr>
      <w:r w:rsidRPr="00255FAD">
        <w:rPr>
          <w:rFonts w:ascii="Cambria" w:hAnsi="Cambria"/>
          <w:b/>
          <w:bCs/>
          <w:color w:val="000000" w:themeColor="text1"/>
        </w:rPr>
        <w:t>Conversion practices in Australia</w:t>
      </w:r>
    </w:p>
    <w:p w14:paraId="6A1E29BF" w14:textId="34040E02" w:rsidR="00CF6E71" w:rsidRPr="00255FAD" w:rsidRDefault="008C2524" w:rsidP="00CF6E71">
      <w:pPr>
        <w:pStyle w:val="NoSpacing"/>
        <w:ind w:right="-347"/>
        <w:jc w:val="both"/>
        <w:rPr>
          <w:rFonts w:ascii="Cambria" w:hAnsi="Cambria" w:cs="Arial"/>
          <w:color w:val="000000" w:themeColor="text1"/>
          <w:sz w:val="24"/>
          <w:szCs w:val="24"/>
          <w:shd w:val="clear" w:color="auto" w:fill="FFFFFF"/>
        </w:rPr>
      </w:pPr>
      <w:r w:rsidRPr="00255FAD">
        <w:rPr>
          <w:rFonts w:ascii="Cambria" w:hAnsi="Cambria" w:cs="Arial"/>
          <w:color w:val="000000" w:themeColor="text1"/>
          <w:sz w:val="24"/>
          <w:szCs w:val="24"/>
          <w:shd w:val="clear" w:color="auto" w:fill="FFFFFF"/>
        </w:rPr>
        <w:t>Conversion</w:t>
      </w:r>
      <w:r w:rsidR="00CF6E71" w:rsidRPr="00255FAD">
        <w:rPr>
          <w:rFonts w:ascii="Cambria" w:hAnsi="Cambria" w:cs="Arial"/>
          <w:color w:val="000000" w:themeColor="text1"/>
          <w:sz w:val="24"/>
          <w:szCs w:val="24"/>
          <w:shd w:val="clear" w:color="auto" w:fill="FFFFFF"/>
        </w:rPr>
        <w:t xml:space="preserve"> practices continue to take place as the Tasmania Law Reform Institute (TLRI) observed:</w:t>
      </w:r>
      <w:r w:rsidR="00CF6E71" w:rsidRPr="00255FAD">
        <w:rPr>
          <w:rStyle w:val="FootnoteReference"/>
          <w:rFonts w:ascii="Cambria" w:hAnsi="Cambria" w:cs="Arial"/>
          <w:color w:val="000000" w:themeColor="text1"/>
          <w:sz w:val="24"/>
          <w:szCs w:val="24"/>
          <w:shd w:val="clear" w:color="auto" w:fill="FFFFFF"/>
        </w:rPr>
        <w:footnoteReference w:id="9"/>
      </w:r>
    </w:p>
    <w:p w14:paraId="22346C9D" w14:textId="77777777" w:rsidR="00CF6E71" w:rsidRPr="00255FAD" w:rsidRDefault="00CF6E71" w:rsidP="00CF6E71">
      <w:pPr>
        <w:pStyle w:val="NoSpacing"/>
        <w:ind w:right="-347"/>
        <w:jc w:val="both"/>
        <w:rPr>
          <w:rFonts w:ascii="Cambria" w:hAnsi="Cambria" w:cs="Arial"/>
          <w:color w:val="000000" w:themeColor="text1"/>
          <w:sz w:val="24"/>
          <w:szCs w:val="24"/>
          <w:shd w:val="clear" w:color="auto" w:fill="FFFFFF"/>
        </w:rPr>
      </w:pPr>
    </w:p>
    <w:p w14:paraId="50378FE9" w14:textId="77777777" w:rsidR="00CF6E71" w:rsidRPr="00255FAD" w:rsidRDefault="00CF6E71" w:rsidP="00CF6E71">
      <w:pPr>
        <w:pStyle w:val="NoSpacing"/>
        <w:ind w:left="720" w:right="-347"/>
        <w:jc w:val="both"/>
        <w:rPr>
          <w:rFonts w:ascii="Cambria" w:hAnsi="Cambria" w:cs="Arial"/>
          <w:color w:val="000000" w:themeColor="text1"/>
          <w:sz w:val="24"/>
          <w:szCs w:val="24"/>
          <w:shd w:val="clear" w:color="auto" w:fill="FFFFFF"/>
        </w:rPr>
      </w:pPr>
      <w:r w:rsidRPr="00255FAD">
        <w:rPr>
          <w:rFonts w:ascii="Cambria" w:hAnsi="Cambria"/>
          <w:color w:val="000000" w:themeColor="text1"/>
          <w:sz w:val="24"/>
          <w:szCs w:val="24"/>
        </w:rPr>
        <w:t xml:space="preserve">…conversion practices continue, albeit on the fringes of the health profession as a form of medical malpractice, or now, more commonly, as a form of pseudoscientific or pseudo medical practice outside the clinical space. That may involve individual or group ‘therapy’, ‘treatment’, ‘healing’, ‘counselling’, ‘mentoring’ or other forms of ‘study’ programs. </w:t>
      </w:r>
    </w:p>
    <w:p w14:paraId="7E98C56B" w14:textId="77777777" w:rsidR="00CF6E71" w:rsidRPr="00255FAD" w:rsidRDefault="00CF6E71" w:rsidP="00CF6E71">
      <w:pPr>
        <w:pStyle w:val="NoSpacing"/>
        <w:ind w:right="-347"/>
        <w:jc w:val="both"/>
        <w:rPr>
          <w:rFonts w:ascii="Cambria" w:hAnsi="Cambria" w:cs="Arial"/>
          <w:color w:val="555555"/>
          <w:sz w:val="24"/>
          <w:szCs w:val="24"/>
          <w:shd w:val="clear" w:color="auto" w:fill="FFFFFF"/>
        </w:rPr>
      </w:pPr>
    </w:p>
    <w:p w14:paraId="45DA89AA" w14:textId="77777777" w:rsidR="00CF6E71" w:rsidRPr="00255FAD" w:rsidRDefault="00CF6E71" w:rsidP="00CF6E71">
      <w:pPr>
        <w:pStyle w:val="NoSpacing"/>
        <w:ind w:right="-347"/>
        <w:jc w:val="both"/>
        <w:rPr>
          <w:rFonts w:ascii="Cambria" w:hAnsi="Cambria" w:cs="Arial"/>
          <w:color w:val="000000" w:themeColor="text1"/>
          <w:sz w:val="24"/>
          <w:szCs w:val="24"/>
          <w:shd w:val="clear" w:color="auto" w:fill="FFFFFF"/>
        </w:rPr>
      </w:pPr>
      <w:r w:rsidRPr="00255FAD">
        <w:rPr>
          <w:rFonts w:ascii="Cambria" w:hAnsi="Cambria" w:cs="Arial"/>
          <w:color w:val="000000" w:themeColor="text1"/>
          <w:sz w:val="24"/>
          <w:szCs w:val="24"/>
          <w:shd w:val="clear" w:color="auto" w:fill="FFFFFF"/>
        </w:rPr>
        <w:t xml:space="preserve">In 2021 a report found that 5 per cent of LGBTIQ+ Tasmanians surveyed had undergone conversion practices to change their sexual orientation or gender identity and that 97 per </w:t>
      </w:r>
      <w:r w:rsidRPr="00255FAD">
        <w:rPr>
          <w:rFonts w:ascii="Cambria" w:hAnsi="Cambria" w:cs="Arial"/>
          <w:color w:val="000000" w:themeColor="text1"/>
          <w:sz w:val="24"/>
          <w:szCs w:val="24"/>
          <w:shd w:val="clear" w:color="auto" w:fill="FFFFFF"/>
        </w:rPr>
        <w:lastRenderedPageBreak/>
        <w:t>cent of those surveyed had been told that their identity was the result of abuse or trauma or that that they needed to be ‘fixed’.</w:t>
      </w:r>
      <w:r w:rsidRPr="00255FAD">
        <w:rPr>
          <w:rStyle w:val="FootnoteReference"/>
          <w:rFonts w:ascii="Cambria" w:hAnsi="Cambria" w:cs="Arial"/>
          <w:color w:val="000000" w:themeColor="text1"/>
          <w:sz w:val="24"/>
          <w:szCs w:val="24"/>
          <w:shd w:val="clear" w:color="auto" w:fill="FFFFFF"/>
        </w:rPr>
        <w:footnoteReference w:id="10"/>
      </w:r>
      <w:r w:rsidRPr="00255FAD">
        <w:rPr>
          <w:rFonts w:ascii="Cambria" w:hAnsi="Cambria" w:cs="Arial"/>
          <w:color w:val="000000" w:themeColor="text1"/>
          <w:sz w:val="24"/>
          <w:szCs w:val="24"/>
          <w:shd w:val="clear" w:color="auto" w:fill="FFFFFF"/>
        </w:rPr>
        <w:t xml:space="preserve"> Finally, it is worth noting that of the 182 submissions accepted by the TLRI as part of its report </w:t>
      </w:r>
      <w:r w:rsidRPr="00255FAD">
        <w:rPr>
          <w:rFonts w:ascii="Cambria" w:hAnsi="Cambria"/>
          <w:i/>
          <w:iCs/>
          <w:sz w:val="24"/>
          <w:szCs w:val="24"/>
        </w:rPr>
        <w:t>Sexual Orientation and Gender Identity Conversion Practices</w:t>
      </w:r>
      <w:r w:rsidRPr="00255FAD">
        <w:rPr>
          <w:rFonts w:ascii="Cambria" w:hAnsi="Cambria" w:cs="Arial"/>
          <w:color w:val="000000" w:themeColor="text1"/>
          <w:sz w:val="24"/>
          <w:szCs w:val="24"/>
          <w:shd w:val="clear" w:color="auto" w:fill="FFFFFF"/>
        </w:rPr>
        <w:t xml:space="preserve">, one in four “reported people being offered or undergoing conversion practices in Tasmania… [including] </w:t>
      </w:r>
      <w:r w:rsidRPr="00255FAD">
        <w:rPr>
          <w:rFonts w:ascii="Cambria" w:hAnsi="Cambria"/>
          <w:color w:val="000000" w:themeColor="text1"/>
          <w:sz w:val="24"/>
          <w:szCs w:val="24"/>
        </w:rPr>
        <w:t>some submissions from Tasmanian organisations and individuals stated or implied that they engage in these practices”.</w:t>
      </w:r>
      <w:r w:rsidRPr="00255FAD">
        <w:rPr>
          <w:rStyle w:val="FootnoteReference"/>
          <w:rFonts w:ascii="Cambria" w:hAnsi="Cambria" w:cs="Arial"/>
          <w:color w:val="000000" w:themeColor="text1"/>
          <w:sz w:val="24"/>
          <w:szCs w:val="24"/>
          <w:shd w:val="clear" w:color="auto" w:fill="FFFFFF"/>
        </w:rPr>
        <w:footnoteReference w:id="11"/>
      </w:r>
    </w:p>
    <w:p w14:paraId="6BE018E5" w14:textId="77777777" w:rsidR="00CF6E71" w:rsidRPr="00255FAD" w:rsidRDefault="00CF6E71" w:rsidP="00CF6E71">
      <w:pPr>
        <w:ind w:right="-347"/>
        <w:jc w:val="both"/>
        <w:rPr>
          <w:rFonts w:ascii="Cambria" w:hAnsi="Cambria"/>
          <w:color w:val="000000"/>
        </w:rPr>
      </w:pPr>
    </w:p>
    <w:p w14:paraId="0F27F6BD" w14:textId="3BCF191B" w:rsidR="00CF6E71" w:rsidRPr="00255FAD" w:rsidRDefault="00AA3FB8" w:rsidP="00CF6E71">
      <w:pPr>
        <w:ind w:right="-347"/>
        <w:jc w:val="both"/>
        <w:rPr>
          <w:rFonts w:ascii="Cambria" w:hAnsi="Cambria"/>
          <w:color w:val="000000" w:themeColor="text1"/>
          <w:shd w:val="clear" w:color="auto" w:fill="FFFFFF"/>
        </w:rPr>
      </w:pPr>
      <w:proofErr w:type="gramStart"/>
      <w:r w:rsidRPr="00255FAD">
        <w:rPr>
          <w:rFonts w:ascii="Cambria" w:hAnsi="Cambria"/>
          <w:color w:val="000000" w:themeColor="text1"/>
          <w:shd w:val="clear" w:color="auto" w:fill="FFFFFF"/>
        </w:rPr>
        <w:t>The majority of</w:t>
      </w:r>
      <w:proofErr w:type="gramEnd"/>
      <w:r w:rsidRPr="00255FAD">
        <w:rPr>
          <w:rFonts w:ascii="Cambria" w:hAnsi="Cambria"/>
          <w:color w:val="000000" w:themeColor="text1"/>
          <w:shd w:val="clear" w:color="auto" w:fill="FFFFFF"/>
        </w:rPr>
        <w:t xml:space="preserve"> Australian jurisdictions have now banned conversion practices. </w:t>
      </w:r>
      <w:r w:rsidR="00CF6E71" w:rsidRPr="00255FAD">
        <w:rPr>
          <w:rFonts w:ascii="Cambria" w:hAnsi="Cambria"/>
          <w:color w:val="000000" w:themeColor="text1"/>
          <w:shd w:val="clear" w:color="auto" w:fill="FFFFFF"/>
        </w:rPr>
        <w:t>In August 2020, Queensland became the first jurisdiction in Australia to ban conversion practices.</w:t>
      </w:r>
      <w:r w:rsidR="00CF6E71" w:rsidRPr="00255FAD">
        <w:rPr>
          <w:rStyle w:val="FootnoteReference"/>
          <w:rFonts w:ascii="Cambria" w:hAnsi="Cambria"/>
          <w:color w:val="000000" w:themeColor="text1"/>
          <w:shd w:val="clear" w:color="auto" w:fill="FFFFFF"/>
        </w:rPr>
        <w:footnoteReference w:id="12"/>
      </w:r>
      <w:r w:rsidR="00CF6E71" w:rsidRPr="00255FAD">
        <w:rPr>
          <w:rFonts w:ascii="Cambria" w:hAnsi="Cambria"/>
          <w:color w:val="000000" w:themeColor="text1"/>
          <w:shd w:val="clear" w:color="auto" w:fill="FFFFFF"/>
        </w:rPr>
        <w:t xml:space="preserve"> This was followed by the Australian Capital Territory and Victoria.</w:t>
      </w:r>
      <w:r w:rsidR="00CF6E71" w:rsidRPr="00255FAD">
        <w:rPr>
          <w:rStyle w:val="FootnoteReference"/>
          <w:rFonts w:ascii="Cambria" w:hAnsi="Cambria"/>
          <w:color w:val="000000" w:themeColor="text1"/>
          <w:shd w:val="clear" w:color="auto" w:fill="FFFFFF"/>
        </w:rPr>
        <w:footnoteReference w:id="13"/>
      </w:r>
      <w:r w:rsidR="00CF6E71" w:rsidRPr="00255FAD">
        <w:rPr>
          <w:rFonts w:ascii="Cambria" w:hAnsi="Cambria"/>
          <w:color w:val="000000" w:themeColor="text1"/>
          <w:shd w:val="clear" w:color="auto" w:fill="FFFFFF"/>
        </w:rPr>
        <w:t xml:space="preserve"> Recently, New South Wales </w:t>
      </w:r>
      <w:r w:rsidRPr="00255FAD">
        <w:rPr>
          <w:rFonts w:ascii="Cambria" w:hAnsi="Cambria"/>
          <w:color w:val="000000" w:themeColor="text1"/>
          <w:shd w:val="clear" w:color="auto" w:fill="FFFFFF"/>
        </w:rPr>
        <w:t>and South Australia also</w:t>
      </w:r>
      <w:r w:rsidR="00CF6E71" w:rsidRPr="00255FAD">
        <w:rPr>
          <w:rFonts w:ascii="Cambria" w:hAnsi="Cambria"/>
          <w:color w:val="000000" w:themeColor="text1"/>
          <w:shd w:val="clear" w:color="auto" w:fill="FFFFFF"/>
        </w:rPr>
        <w:t xml:space="preserve"> ban</w:t>
      </w:r>
      <w:r w:rsidRPr="00255FAD">
        <w:rPr>
          <w:rFonts w:ascii="Cambria" w:hAnsi="Cambria"/>
          <w:color w:val="000000" w:themeColor="text1"/>
          <w:shd w:val="clear" w:color="auto" w:fill="FFFFFF"/>
        </w:rPr>
        <w:t>ned</w:t>
      </w:r>
      <w:r w:rsidR="00CF6E71" w:rsidRPr="00255FAD">
        <w:rPr>
          <w:rFonts w:ascii="Cambria" w:hAnsi="Cambria"/>
          <w:color w:val="000000" w:themeColor="text1"/>
          <w:shd w:val="clear" w:color="auto" w:fill="FFFFFF"/>
        </w:rPr>
        <w:t xml:space="preserve"> conversion practices.</w:t>
      </w:r>
      <w:r w:rsidR="00CF6E71" w:rsidRPr="00255FAD">
        <w:rPr>
          <w:rStyle w:val="FootnoteReference"/>
          <w:rFonts w:ascii="Cambria" w:hAnsi="Cambria"/>
          <w:color w:val="000000" w:themeColor="text1"/>
          <w:shd w:val="clear" w:color="auto" w:fill="FFFFFF"/>
        </w:rPr>
        <w:footnoteReference w:id="14"/>
      </w:r>
    </w:p>
    <w:p w14:paraId="49FF78AB" w14:textId="77777777" w:rsidR="00CF6E71" w:rsidRPr="00255FAD" w:rsidRDefault="00CF6E71" w:rsidP="0009173E">
      <w:pPr>
        <w:pStyle w:val="NoSpacing"/>
        <w:jc w:val="both"/>
        <w:rPr>
          <w:rFonts w:ascii="Cambria" w:hAnsi="Cambria"/>
          <w:color w:val="000000"/>
          <w:sz w:val="24"/>
          <w:szCs w:val="24"/>
        </w:rPr>
      </w:pPr>
    </w:p>
    <w:p w14:paraId="7B01F6A5" w14:textId="77777777" w:rsidR="008C2524" w:rsidRPr="00255FAD" w:rsidRDefault="008C2524" w:rsidP="008C2524">
      <w:pPr>
        <w:ind w:right="-347"/>
        <w:jc w:val="both"/>
        <w:rPr>
          <w:rFonts w:ascii="Cambria" w:hAnsi="Cambria"/>
          <w:b/>
          <w:bCs/>
          <w:color w:val="000000"/>
        </w:rPr>
      </w:pPr>
      <w:r w:rsidRPr="00255FAD">
        <w:rPr>
          <w:rFonts w:ascii="Cambria" w:hAnsi="Cambria"/>
          <w:b/>
          <w:bCs/>
          <w:color w:val="000000"/>
        </w:rPr>
        <w:t>Consent</w:t>
      </w:r>
    </w:p>
    <w:p w14:paraId="15600843" w14:textId="77777777" w:rsidR="008C2524" w:rsidRPr="00255FAD" w:rsidRDefault="008C2524" w:rsidP="008C2524">
      <w:pPr>
        <w:ind w:right="-347"/>
        <w:jc w:val="both"/>
        <w:rPr>
          <w:rFonts w:ascii="Cambria" w:hAnsi="Cambria"/>
          <w:color w:val="000000"/>
        </w:rPr>
      </w:pPr>
      <w:r w:rsidRPr="00255FAD">
        <w:rPr>
          <w:rFonts w:ascii="Cambria" w:hAnsi="Cambria"/>
          <w:color w:val="000000"/>
        </w:rPr>
        <w:t>Sexual orientation and gender identity are not disorders, diseases illnesses or disabilities.</w:t>
      </w:r>
      <w:r w:rsidRPr="00255FAD">
        <w:rPr>
          <w:rStyle w:val="FootnoteReference"/>
          <w:rFonts w:ascii="Cambria" w:hAnsi="Cambria"/>
          <w:color w:val="000000"/>
        </w:rPr>
        <w:footnoteReference w:id="15"/>
      </w:r>
      <w:r w:rsidRPr="00255FAD">
        <w:rPr>
          <w:rFonts w:ascii="Cambria" w:hAnsi="Cambria"/>
          <w:color w:val="000000"/>
        </w:rPr>
        <w:t xml:space="preserve"> Or, in the succinct words of Rodney </w:t>
      </w:r>
      <w:proofErr w:type="spellStart"/>
      <w:r w:rsidRPr="00255FAD">
        <w:rPr>
          <w:rFonts w:ascii="Cambria" w:hAnsi="Cambria"/>
          <w:color w:val="000000"/>
        </w:rPr>
        <w:t>Croome</w:t>
      </w:r>
      <w:proofErr w:type="spellEnd"/>
      <w:r w:rsidRPr="00255FAD">
        <w:rPr>
          <w:rFonts w:ascii="Cambria" w:hAnsi="Cambria"/>
          <w:color w:val="000000"/>
        </w:rPr>
        <w:t xml:space="preserve"> AM “it is impossible to consent to a ‘treatment’ that doesn’t work for a ‘condition’ that doesn’t exist”.</w:t>
      </w:r>
      <w:r w:rsidRPr="00255FAD">
        <w:rPr>
          <w:rStyle w:val="FootnoteReference"/>
          <w:rFonts w:ascii="Cambria" w:hAnsi="Cambria"/>
          <w:color w:val="000000"/>
        </w:rPr>
        <w:footnoteReference w:id="16"/>
      </w:r>
      <w:r w:rsidRPr="00255FAD">
        <w:rPr>
          <w:rFonts w:ascii="Cambria" w:hAnsi="Cambria"/>
          <w:color w:val="000000"/>
        </w:rPr>
        <w:t xml:space="preserve"> We therefore support the Bill’s explicit prohibition of conversion practices even in circumstances where an adult consents and </w:t>
      </w:r>
      <w:r w:rsidRPr="00255FAD">
        <w:rPr>
          <w:rFonts w:ascii="Cambria" w:hAnsi="Cambria"/>
          <w:color w:val="000000"/>
          <w:bdr w:val="none" w:sz="0" w:space="0" w:color="auto" w:frame="1"/>
        </w:rPr>
        <w:t>understands that it could cause physical or mental harm.</w:t>
      </w:r>
    </w:p>
    <w:p w14:paraId="3EC1693D" w14:textId="77777777" w:rsidR="0009173E" w:rsidRPr="00255FAD" w:rsidRDefault="0009173E" w:rsidP="0009173E">
      <w:pPr>
        <w:pStyle w:val="NoSpacing"/>
        <w:jc w:val="both"/>
        <w:rPr>
          <w:rFonts w:ascii="Cambria" w:hAnsi="Cambria"/>
          <w:color w:val="000000"/>
        </w:rPr>
      </w:pPr>
    </w:p>
    <w:p w14:paraId="0E695C8C" w14:textId="1F5FB600" w:rsidR="00AA3FB8" w:rsidRPr="00255FAD" w:rsidRDefault="00AA3FB8" w:rsidP="00AA3FB8">
      <w:pPr>
        <w:rPr>
          <w:rFonts w:ascii="Cambria" w:hAnsi="Cambria"/>
          <w:b/>
          <w:bCs/>
          <w:color w:val="000000"/>
        </w:rPr>
      </w:pPr>
      <w:r w:rsidRPr="00255FAD">
        <w:rPr>
          <w:rFonts w:ascii="Cambria" w:hAnsi="Cambria"/>
          <w:b/>
          <w:bCs/>
          <w:color w:val="000000"/>
        </w:rPr>
        <w:t>Positive Duty to prevent conversion</w:t>
      </w:r>
    </w:p>
    <w:p w14:paraId="228AF7CB" w14:textId="6E8DC942" w:rsidR="00D85688" w:rsidRPr="00255FAD" w:rsidRDefault="00A232B5" w:rsidP="00AA3FB8">
      <w:pPr>
        <w:jc w:val="both"/>
        <w:rPr>
          <w:rFonts w:ascii="Cambria" w:hAnsi="Cambria"/>
          <w:color w:val="000000"/>
        </w:rPr>
      </w:pPr>
      <w:r w:rsidRPr="00255FAD">
        <w:rPr>
          <w:rFonts w:ascii="Cambria" w:hAnsi="Cambria"/>
          <w:color w:val="000000"/>
        </w:rPr>
        <w:t xml:space="preserve">The Bill expressly provides that employers will be found liable for the actions of their employees (including volunteers). </w:t>
      </w:r>
      <w:r w:rsidR="00AA3FB8" w:rsidRPr="00255FAD">
        <w:rPr>
          <w:rFonts w:ascii="Cambria" w:hAnsi="Cambria"/>
          <w:color w:val="000000"/>
        </w:rPr>
        <w:t xml:space="preserve">In Victoria, section 15 of the </w:t>
      </w:r>
      <w:r w:rsidR="00AA3FB8" w:rsidRPr="00255FAD">
        <w:rPr>
          <w:rFonts w:ascii="Cambria" w:hAnsi="Cambria"/>
          <w:i/>
          <w:iCs/>
          <w:color w:val="000000"/>
        </w:rPr>
        <w:t>Equal Opportunity Act 2010</w:t>
      </w:r>
      <w:r w:rsidR="00AA3FB8" w:rsidRPr="00255FAD">
        <w:rPr>
          <w:rFonts w:ascii="Cambria" w:hAnsi="Cambria"/>
          <w:color w:val="000000"/>
        </w:rPr>
        <w:t xml:space="preserve"> (Vic) imposes a positive duty to “take reasonable and proportionate measures to eliminate discrimination, sexual harassment or victimisation as far as possible”. The same positive duty has been recommended for inclusion in Victoria’s </w:t>
      </w:r>
      <w:r w:rsidR="00AA3FB8" w:rsidRPr="00255FAD">
        <w:rPr>
          <w:rFonts w:ascii="Cambria" w:hAnsi="Cambria"/>
          <w:i/>
          <w:iCs/>
        </w:rPr>
        <w:t xml:space="preserve">Change or Suppression (Conversion) Practices Prohibition Act 2021 </w:t>
      </w:r>
      <w:r w:rsidR="00AA3FB8" w:rsidRPr="00255FAD">
        <w:rPr>
          <w:rFonts w:ascii="Cambria" w:hAnsi="Cambria"/>
        </w:rPr>
        <w:t xml:space="preserve">by </w:t>
      </w:r>
      <w:r w:rsidR="00AA3FB8" w:rsidRPr="00255FAD">
        <w:rPr>
          <w:rFonts w:ascii="Cambria" w:hAnsi="Cambria"/>
          <w:color w:val="000000"/>
        </w:rPr>
        <w:t>the Victorian Human Rights and Equal Opportunity Commission.</w:t>
      </w:r>
      <w:r w:rsidR="00AA3FB8" w:rsidRPr="00255FAD">
        <w:rPr>
          <w:rStyle w:val="FootnoteReference"/>
          <w:rFonts w:ascii="Cambria" w:hAnsi="Cambria"/>
          <w:color w:val="000000"/>
        </w:rPr>
        <w:footnoteReference w:id="17"/>
      </w:r>
      <w:r w:rsidR="00AA3FB8" w:rsidRPr="00255FAD">
        <w:rPr>
          <w:rFonts w:ascii="Cambria" w:hAnsi="Cambria"/>
          <w:color w:val="000000"/>
        </w:rPr>
        <w:t xml:space="preserve"> We strongly believe that a similar positive duty should be added into the </w:t>
      </w:r>
      <w:r w:rsidR="00D85688" w:rsidRPr="00255FAD">
        <w:rPr>
          <w:rFonts w:ascii="Cambria" w:hAnsi="Cambria"/>
          <w:color w:val="000000"/>
        </w:rPr>
        <w:t xml:space="preserve">Tasmanian </w:t>
      </w:r>
      <w:r w:rsidR="00AA3FB8" w:rsidRPr="00255FAD">
        <w:rPr>
          <w:rFonts w:ascii="Cambria" w:hAnsi="Cambria"/>
          <w:color w:val="000000"/>
        </w:rPr>
        <w:t>Bill to achieve the Bill’s objective of eliminating conversion practices.</w:t>
      </w:r>
      <w:r w:rsidR="00D85688" w:rsidRPr="00255FAD">
        <w:rPr>
          <w:rFonts w:ascii="Cambria" w:hAnsi="Cambria"/>
          <w:color w:val="000000"/>
        </w:rPr>
        <w:t xml:space="preserve"> </w:t>
      </w:r>
      <w:r w:rsidR="00AA3FB8" w:rsidRPr="00255FAD">
        <w:rPr>
          <w:rFonts w:ascii="Cambria" w:hAnsi="Cambria"/>
          <w:color w:val="000000"/>
        </w:rPr>
        <w:t xml:space="preserve">The advantage of a positive duty is that organisations </w:t>
      </w:r>
      <w:r w:rsidR="00D85688" w:rsidRPr="00255FAD">
        <w:rPr>
          <w:rFonts w:ascii="Cambria" w:hAnsi="Cambria"/>
          <w:color w:val="000000"/>
        </w:rPr>
        <w:t>will be</w:t>
      </w:r>
      <w:r w:rsidR="00AA3FB8" w:rsidRPr="00255FAD">
        <w:rPr>
          <w:rFonts w:ascii="Cambria" w:hAnsi="Cambria"/>
          <w:color w:val="000000"/>
        </w:rPr>
        <w:t xml:space="preserve"> required to take proactive measures to prevent conversion practices rather than the burden falling on survivors. </w:t>
      </w:r>
    </w:p>
    <w:p w14:paraId="5915AEE4" w14:textId="77777777" w:rsidR="00D85688" w:rsidRPr="00255FAD" w:rsidRDefault="00D85688" w:rsidP="00AA3FB8">
      <w:pPr>
        <w:jc w:val="both"/>
        <w:rPr>
          <w:rFonts w:ascii="Cambria" w:hAnsi="Cambria"/>
          <w:b/>
          <w:bCs/>
          <w:color w:val="000000"/>
        </w:rPr>
      </w:pPr>
    </w:p>
    <w:p w14:paraId="4EEF497C" w14:textId="77777777" w:rsidR="00766D80" w:rsidRDefault="00766D80" w:rsidP="00D85688">
      <w:pPr>
        <w:jc w:val="both"/>
        <w:rPr>
          <w:rFonts w:ascii="Cambria" w:hAnsi="Cambria"/>
          <w:b/>
          <w:bCs/>
          <w:color w:val="000000" w:themeColor="text1"/>
        </w:rPr>
      </w:pPr>
    </w:p>
    <w:p w14:paraId="3D25956F" w14:textId="77777777" w:rsidR="00766D80" w:rsidRDefault="00766D80" w:rsidP="00D85688">
      <w:pPr>
        <w:jc w:val="both"/>
        <w:rPr>
          <w:rFonts w:ascii="Cambria" w:hAnsi="Cambria"/>
          <w:b/>
          <w:bCs/>
          <w:color w:val="000000" w:themeColor="text1"/>
        </w:rPr>
      </w:pPr>
    </w:p>
    <w:p w14:paraId="4794FFC6" w14:textId="4CE30AE3" w:rsidR="00AA3FB8" w:rsidRPr="00255FAD" w:rsidRDefault="00255FAD" w:rsidP="00D85688">
      <w:pPr>
        <w:jc w:val="both"/>
        <w:rPr>
          <w:rFonts w:ascii="Cambria" w:hAnsi="Cambria"/>
          <w:b/>
          <w:bCs/>
          <w:color w:val="000000" w:themeColor="text1"/>
        </w:rPr>
      </w:pPr>
      <w:r w:rsidRPr="00255FAD">
        <w:rPr>
          <w:rFonts w:ascii="Cambria" w:hAnsi="Cambria"/>
          <w:b/>
          <w:bCs/>
          <w:color w:val="000000" w:themeColor="text1"/>
        </w:rPr>
        <w:lastRenderedPageBreak/>
        <w:t>Broaden t</w:t>
      </w:r>
      <w:r w:rsidR="0096789F" w:rsidRPr="00255FAD">
        <w:rPr>
          <w:rFonts w:ascii="Cambria" w:hAnsi="Cambria"/>
          <w:b/>
          <w:bCs/>
          <w:color w:val="000000" w:themeColor="text1"/>
        </w:rPr>
        <w:t xml:space="preserve">he civil response scheme </w:t>
      </w:r>
      <w:r w:rsidRPr="00255FAD">
        <w:rPr>
          <w:rFonts w:ascii="Cambria" w:hAnsi="Cambria"/>
          <w:b/>
          <w:bCs/>
          <w:color w:val="000000" w:themeColor="text1"/>
        </w:rPr>
        <w:t>to include referral to TASCAT</w:t>
      </w:r>
      <w:r w:rsidR="00AA3FB8" w:rsidRPr="00255FAD">
        <w:rPr>
          <w:rFonts w:ascii="Cambria" w:hAnsi="Cambria"/>
          <w:b/>
          <w:bCs/>
          <w:color w:val="000000" w:themeColor="text1"/>
        </w:rPr>
        <w:t xml:space="preserve">   </w:t>
      </w:r>
    </w:p>
    <w:p w14:paraId="30F67546" w14:textId="7234FE0C" w:rsidR="003A42E3" w:rsidRPr="00255FAD" w:rsidRDefault="0096789F" w:rsidP="00D85688">
      <w:pPr>
        <w:jc w:val="both"/>
        <w:rPr>
          <w:rFonts w:ascii="Cambria" w:hAnsi="Cambria"/>
          <w:color w:val="000000" w:themeColor="text1"/>
        </w:rPr>
      </w:pPr>
      <w:r w:rsidRPr="00255FAD">
        <w:rPr>
          <w:rFonts w:ascii="Cambria" w:hAnsi="Cambria"/>
          <w:color w:val="000000" w:themeColor="text1"/>
        </w:rPr>
        <w:t>We strongly support the establishment of a civil response scheme in Part 4 of the Bill which will provide the Anti-Discrimination Commissioner with the power to investigate reports of conversion practices</w:t>
      </w:r>
      <w:r w:rsidR="00BD18D4" w:rsidRPr="00255FAD">
        <w:rPr>
          <w:rFonts w:ascii="Cambria" w:hAnsi="Cambria"/>
          <w:color w:val="000000" w:themeColor="text1"/>
        </w:rPr>
        <w:t>,</w:t>
      </w:r>
      <w:r w:rsidRPr="00255FAD">
        <w:rPr>
          <w:rStyle w:val="FootnoteReference"/>
          <w:rFonts w:ascii="Cambria" w:hAnsi="Cambria"/>
          <w:color w:val="000000" w:themeColor="text1"/>
        </w:rPr>
        <w:footnoteReference w:id="18"/>
      </w:r>
      <w:r w:rsidRPr="00255FAD">
        <w:rPr>
          <w:rFonts w:ascii="Cambria" w:hAnsi="Cambria"/>
          <w:color w:val="000000" w:themeColor="text1"/>
        </w:rPr>
        <w:t xml:space="preserve"> accept</w:t>
      </w:r>
      <w:r w:rsidR="00B1126C" w:rsidRPr="00255FAD">
        <w:rPr>
          <w:rFonts w:ascii="Cambria" w:hAnsi="Cambria"/>
          <w:color w:val="000000" w:themeColor="text1"/>
        </w:rPr>
        <w:t xml:space="preserve"> enforceable </w:t>
      </w:r>
      <w:r w:rsidR="0002671A" w:rsidRPr="00255FAD">
        <w:rPr>
          <w:rFonts w:ascii="Cambria" w:hAnsi="Cambria"/>
          <w:color w:val="000000" w:themeColor="text1"/>
        </w:rPr>
        <w:t>undertaking</w:t>
      </w:r>
      <w:r w:rsidR="00BD18D4" w:rsidRPr="00255FAD">
        <w:rPr>
          <w:rFonts w:ascii="Cambria" w:hAnsi="Cambria"/>
          <w:color w:val="000000" w:themeColor="text1"/>
        </w:rPr>
        <w:t>s</w:t>
      </w:r>
      <w:r w:rsidR="0002671A" w:rsidRPr="00255FAD">
        <w:rPr>
          <w:rStyle w:val="FootnoteReference"/>
          <w:rFonts w:ascii="Cambria" w:hAnsi="Cambria"/>
          <w:color w:val="000000" w:themeColor="text1"/>
        </w:rPr>
        <w:footnoteReference w:id="19"/>
      </w:r>
      <w:r w:rsidR="0002671A" w:rsidRPr="00255FAD">
        <w:rPr>
          <w:rFonts w:ascii="Cambria" w:hAnsi="Cambria"/>
          <w:color w:val="000000" w:themeColor="text1"/>
        </w:rPr>
        <w:t xml:space="preserve"> </w:t>
      </w:r>
      <w:r w:rsidR="00BD18D4" w:rsidRPr="00255FAD">
        <w:rPr>
          <w:rFonts w:ascii="Cambria" w:hAnsi="Cambria"/>
          <w:color w:val="000000" w:themeColor="text1"/>
        </w:rPr>
        <w:t xml:space="preserve">and </w:t>
      </w:r>
      <w:r w:rsidR="0002671A" w:rsidRPr="00255FAD">
        <w:rPr>
          <w:rFonts w:ascii="Cambria" w:hAnsi="Cambria"/>
          <w:color w:val="000000" w:themeColor="text1"/>
        </w:rPr>
        <w:t>issue compliance notice</w:t>
      </w:r>
      <w:r w:rsidR="00BD18D4" w:rsidRPr="00255FAD">
        <w:rPr>
          <w:rFonts w:ascii="Cambria" w:hAnsi="Cambria"/>
          <w:color w:val="000000" w:themeColor="text1"/>
        </w:rPr>
        <w:t>s</w:t>
      </w:r>
      <w:r w:rsidR="0002671A" w:rsidRPr="00255FAD">
        <w:rPr>
          <w:rFonts w:ascii="Cambria" w:hAnsi="Cambria"/>
          <w:color w:val="000000" w:themeColor="text1"/>
        </w:rPr>
        <w:t>.</w:t>
      </w:r>
      <w:r w:rsidR="0002671A" w:rsidRPr="00255FAD">
        <w:rPr>
          <w:rStyle w:val="FootnoteReference"/>
          <w:rFonts w:ascii="Cambria" w:hAnsi="Cambria"/>
          <w:color w:val="000000" w:themeColor="text1"/>
        </w:rPr>
        <w:footnoteReference w:id="20"/>
      </w:r>
      <w:r w:rsidR="00255FAD" w:rsidRPr="00255FAD">
        <w:rPr>
          <w:rFonts w:ascii="Cambria" w:hAnsi="Cambria"/>
          <w:color w:val="000000" w:themeColor="text1"/>
        </w:rPr>
        <w:t xml:space="preserve"> </w:t>
      </w:r>
      <w:r w:rsidR="0002671A" w:rsidRPr="00255FAD">
        <w:rPr>
          <w:rFonts w:ascii="Cambria" w:hAnsi="Cambria"/>
          <w:color w:val="000000" w:themeColor="text1"/>
        </w:rPr>
        <w:t>However,</w:t>
      </w:r>
      <w:r w:rsidR="003A42E3" w:rsidRPr="00255FAD">
        <w:rPr>
          <w:rFonts w:ascii="Cambria" w:hAnsi="Cambria"/>
          <w:color w:val="000000" w:themeColor="text1"/>
        </w:rPr>
        <w:t xml:space="preserve"> </w:t>
      </w:r>
      <w:r w:rsidR="00255FAD" w:rsidRPr="00255FAD">
        <w:rPr>
          <w:rFonts w:ascii="Cambria" w:hAnsi="Cambria"/>
          <w:color w:val="000000" w:themeColor="text1"/>
        </w:rPr>
        <w:t>without the Commissioner having the power to refer reports to the Tasmanian Civil and Administrative Tribunal (TASCAT) with powers to undertake public hearings and impose a broad range of remedies,</w:t>
      </w:r>
      <w:r w:rsidR="00255FAD" w:rsidRPr="00255FAD">
        <w:rPr>
          <w:rStyle w:val="FootnoteReference"/>
          <w:rFonts w:ascii="Cambria" w:hAnsi="Cambria"/>
          <w:color w:val="000000" w:themeColor="text1"/>
        </w:rPr>
        <w:footnoteReference w:id="21"/>
      </w:r>
      <w:r w:rsidR="00255FAD" w:rsidRPr="00255FAD">
        <w:rPr>
          <w:rFonts w:ascii="Cambria" w:hAnsi="Cambria"/>
          <w:color w:val="000000" w:themeColor="text1"/>
        </w:rPr>
        <w:t xml:space="preserve"> we are concerned that some persons and organisations may stymie resolution before the Commissioner. Providing a mechanism within the Bill to refer reports to TASCAT is likely to lead to increased compliance, with decisions made publicly available and enforceable remedies and should be included in Bill. </w:t>
      </w:r>
      <w:r w:rsidR="00FD4050" w:rsidRPr="00255FAD">
        <w:rPr>
          <w:rFonts w:ascii="Cambria" w:hAnsi="Cambria"/>
          <w:color w:val="000000" w:themeColor="text1"/>
        </w:rPr>
        <w:t xml:space="preserve">We would also note that this reform was recommended by the Victorian Human Rights and Equal Opportunity in its submission to the review of the </w:t>
      </w:r>
      <w:r w:rsidR="00FD4050" w:rsidRPr="00255FAD">
        <w:rPr>
          <w:rFonts w:ascii="Cambria" w:hAnsi="Cambria"/>
          <w:i/>
          <w:iCs/>
          <w:color w:val="000000" w:themeColor="text1"/>
        </w:rPr>
        <w:t xml:space="preserve">Change or Suppression (Conversion) Practices Prohibition Act 2021 </w:t>
      </w:r>
      <w:r w:rsidR="00FD4050" w:rsidRPr="00255FAD">
        <w:rPr>
          <w:rFonts w:ascii="Cambria" w:hAnsi="Cambria"/>
          <w:color w:val="000000" w:themeColor="text1"/>
        </w:rPr>
        <w:t>(Vic).</w:t>
      </w:r>
      <w:r w:rsidR="00FD4050" w:rsidRPr="00255FAD">
        <w:rPr>
          <w:rStyle w:val="FootnoteReference"/>
          <w:rFonts w:ascii="Cambria" w:hAnsi="Cambria"/>
          <w:color w:val="000000" w:themeColor="text1"/>
        </w:rPr>
        <w:footnoteReference w:id="22"/>
      </w:r>
      <w:r w:rsidR="00FD4050" w:rsidRPr="00255FAD">
        <w:rPr>
          <w:rFonts w:ascii="Cambria" w:hAnsi="Cambria"/>
          <w:i/>
          <w:iCs/>
          <w:color w:val="000000" w:themeColor="text1"/>
        </w:rPr>
        <w:t xml:space="preserve"> </w:t>
      </w:r>
      <w:r w:rsidR="00FD4050" w:rsidRPr="00255FAD">
        <w:rPr>
          <w:rFonts w:ascii="Cambria" w:hAnsi="Cambria"/>
          <w:color w:val="000000" w:themeColor="text1"/>
        </w:rPr>
        <w:t xml:space="preserve">  </w:t>
      </w:r>
    </w:p>
    <w:p w14:paraId="1E245AF9" w14:textId="77777777" w:rsidR="00801494" w:rsidRPr="00255FAD" w:rsidRDefault="00801494" w:rsidP="00D85688">
      <w:pPr>
        <w:jc w:val="both"/>
        <w:rPr>
          <w:rFonts w:ascii="Cambria" w:hAnsi="Cambria"/>
          <w:color w:val="000000" w:themeColor="text1"/>
        </w:rPr>
      </w:pPr>
    </w:p>
    <w:p w14:paraId="6703145B" w14:textId="70791F31" w:rsidR="00801494" w:rsidRPr="00255FAD" w:rsidRDefault="00801494" w:rsidP="00801494">
      <w:pPr>
        <w:jc w:val="both"/>
        <w:rPr>
          <w:rFonts w:ascii="Cambria" w:hAnsi="Cambria"/>
          <w:b/>
          <w:bCs/>
          <w:color w:val="000000" w:themeColor="text1"/>
        </w:rPr>
      </w:pPr>
      <w:r w:rsidRPr="00255FAD">
        <w:rPr>
          <w:rFonts w:ascii="Cambria" w:hAnsi="Cambria"/>
          <w:b/>
          <w:bCs/>
          <w:color w:val="000000" w:themeColor="text1"/>
        </w:rPr>
        <w:t>Protection for asexual, aromantic and agender people</w:t>
      </w:r>
    </w:p>
    <w:p w14:paraId="242AF269" w14:textId="4AAA5A2A" w:rsidR="00F93DA5" w:rsidRPr="00255FAD" w:rsidRDefault="005C5A7C" w:rsidP="00801494">
      <w:pPr>
        <w:jc w:val="both"/>
        <w:rPr>
          <w:rFonts w:ascii="Cambria" w:hAnsi="Cambria"/>
          <w:color w:val="000000" w:themeColor="text1"/>
        </w:rPr>
      </w:pPr>
      <w:r w:rsidRPr="00255FAD">
        <w:rPr>
          <w:rFonts w:ascii="Cambria" w:hAnsi="Cambria"/>
          <w:color w:val="000000" w:themeColor="text1"/>
        </w:rPr>
        <w:t>The Tasmanian Government was the first Australian jurisdiction to officially recognise people who identify as asexual, aromatic or agender.</w:t>
      </w:r>
      <w:r w:rsidRPr="00255FAD">
        <w:rPr>
          <w:rStyle w:val="FootnoteReference"/>
          <w:rFonts w:ascii="Cambria" w:hAnsi="Cambria"/>
          <w:color w:val="000000" w:themeColor="text1"/>
        </w:rPr>
        <w:footnoteReference w:id="23"/>
      </w:r>
      <w:r w:rsidR="002A0661" w:rsidRPr="00255FAD">
        <w:rPr>
          <w:rFonts w:ascii="Cambria" w:hAnsi="Cambria"/>
          <w:color w:val="000000" w:themeColor="text1"/>
        </w:rPr>
        <w:t xml:space="preserve"> However, as the Bill is currently drafted, conversion practices </w:t>
      </w:r>
      <w:r w:rsidR="00A232B5" w:rsidRPr="00255FAD">
        <w:rPr>
          <w:rFonts w:ascii="Cambria" w:hAnsi="Cambria"/>
          <w:color w:val="000000" w:themeColor="text1"/>
        </w:rPr>
        <w:t>are</w:t>
      </w:r>
      <w:r w:rsidR="002A0661" w:rsidRPr="00255FAD">
        <w:rPr>
          <w:rFonts w:ascii="Cambria" w:hAnsi="Cambria"/>
          <w:color w:val="000000" w:themeColor="text1"/>
        </w:rPr>
        <w:t xml:space="preserve"> limited to “changing, suppressing or eradicating</w:t>
      </w:r>
      <w:r w:rsidR="00F93DA5" w:rsidRPr="00255FAD">
        <w:rPr>
          <w:rFonts w:ascii="Cambria" w:hAnsi="Cambria"/>
          <w:color w:val="000000" w:themeColor="text1"/>
        </w:rPr>
        <w:t xml:space="preserve"> sexual orientation or gender identity of the person” or “inducing the person to change, suppress or eradicate their sexual orientation or gender identity”.</w:t>
      </w:r>
      <w:r w:rsidR="00F93DA5" w:rsidRPr="00255FAD">
        <w:rPr>
          <w:rStyle w:val="FootnoteReference"/>
          <w:rFonts w:ascii="Cambria" w:hAnsi="Cambria"/>
          <w:color w:val="000000" w:themeColor="text1"/>
        </w:rPr>
        <w:footnoteReference w:id="24"/>
      </w:r>
      <w:r w:rsidR="00624C9A" w:rsidRPr="00255FAD">
        <w:rPr>
          <w:rFonts w:ascii="Cambria" w:hAnsi="Cambria"/>
          <w:color w:val="000000" w:themeColor="text1"/>
        </w:rPr>
        <w:t xml:space="preserve"> </w:t>
      </w:r>
      <w:r w:rsidR="00F93DA5" w:rsidRPr="00255FAD">
        <w:rPr>
          <w:rFonts w:ascii="Cambria" w:hAnsi="Cambria"/>
          <w:color w:val="000000" w:themeColor="text1"/>
        </w:rPr>
        <w:t>To ensure that asexual, aromatic and agender persons are assured the same protection</w:t>
      </w:r>
      <w:r w:rsidR="00A232B5" w:rsidRPr="00255FAD">
        <w:rPr>
          <w:rFonts w:ascii="Cambria" w:hAnsi="Cambria"/>
          <w:color w:val="000000" w:themeColor="text1"/>
        </w:rPr>
        <w:t xml:space="preserve"> against</w:t>
      </w:r>
      <w:r w:rsidR="00624C9A" w:rsidRPr="00255FAD">
        <w:rPr>
          <w:rFonts w:ascii="Cambria" w:hAnsi="Cambria"/>
          <w:color w:val="000000" w:themeColor="text1"/>
        </w:rPr>
        <w:t xml:space="preserve"> conversion practi</w:t>
      </w:r>
      <w:r w:rsidR="005C1638" w:rsidRPr="00255FAD">
        <w:rPr>
          <w:rFonts w:ascii="Cambria" w:hAnsi="Cambria"/>
          <w:color w:val="000000" w:themeColor="text1"/>
        </w:rPr>
        <w:t xml:space="preserve">ces </w:t>
      </w:r>
      <w:r w:rsidR="00624C9A" w:rsidRPr="00255FAD">
        <w:rPr>
          <w:rFonts w:ascii="Cambria" w:hAnsi="Cambria"/>
          <w:color w:val="000000" w:themeColor="text1"/>
        </w:rPr>
        <w:t xml:space="preserve">we strongly recommend that the definition of ‘sexual orientation’ in the </w:t>
      </w:r>
      <w:r w:rsidR="00624C9A" w:rsidRPr="00255FAD">
        <w:rPr>
          <w:rFonts w:ascii="Cambria" w:hAnsi="Cambria"/>
          <w:i/>
          <w:iCs/>
          <w:color w:val="000000" w:themeColor="text1"/>
        </w:rPr>
        <w:t>Anti-Discrimination Act 1998</w:t>
      </w:r>
      <w:r w:rsidR="00624C9A" w:rsidRPr="00255FAD">
        <w:rPr>
          <w:rFonts w:ascii="Cambria" w:hAnsi="Cambria"/>
          <w:color w:val="000000" w:themeColor="text1"/>
        </w:rPr>
        <w:t xml:space="preserve"> (Tas) is amended. In Victoria, the Victorian Human Rights and Equal Opportunity recommended the following wording:</w:t>
      </w:r>
      <w:r w:rsidR="00624C9A" w:rsidRPr="00255FAD">
        <w:rPr>
          <w:rStyle w:val="FootnoteReference"/>
          <w:rFonts w:ascii="Cambria" w:hAnsi="Cambria"/>
          <w:color w:val="000000" w:themeColor="text1"/>
        </w:rPr>
        <w:footnoteReference w:id="25"/>
      </w:r>
    </w:p>
    <w:p w14:paraId="385F1239" w14:textId="77777777" w:rsidR="00624C9A" w:rsidRPr="00255FAD" w:rsidRDefault="00624C9A" w:rsidP="00801494">
      <w:pPr>
        <w:jc w:val="both"/>
        <w:rPr>
          <w:rFonts w:ascii="Cambria" w:hAnsi="Cambria"/>
          <w:color w:val="000000" w:themeColor="text1"/>
        </w:rPr>
      </w:pPr>
    </w:p>
    <w:p w14:paraId="59FF829B" w14:textId="19174FA1" w:rsidR="00624C9A" w:rsidRPr="00766D80" w:rsidRDefault="00624C9A" w:rsidP="00624C9A">
      <w:pPr>
        <w:ind w:firstLine="360"/>
        <w:jc w:val="both"/>
        <w:rPr>
          <w:rFonts w:ascii="Cambria" w:hAnsi="Cambria"/>
          <w:i/>
          <w:iCs/>
          <w:color w:val="000000" w:themeColor="text1"/>
          <w:sz w:val="23"/>
          <w:szCs w:val="23"/>
        </w:rPr>
      </w:pPr>
      <w:r w:rsidRPr="00766D80">
        <w:rPr>
          <w:rFonts w:ascii="Cambria" w:hAnsi="Cambria"/>
          <w:i/>
          <w:iCs/>
          <w:color w:val="000000" w:themeColor="text1"/>
          <w:sz w:val="23"/>
          <w:szCs w:val="23"/>
        </w:rPr>
        <w:t>…that the definition of ‘sexual orientation</w:t>
      </w:r>
      <w:r w:rsidR="00A232B5" w:rsidRPr="00766D80">
        <w:rPr>
          <w:rFonts w:ascii="Cambria" w:hAnsi="Cambria"/>
          <w:i/>
          <w:iCs/>
          <w:color w:val="000000" w:themeColor="text1"/>
          <w:sz w:val="23"/>
          <w:szCs w:val="23"/>
        </w:rPr>
        <w:t>’</w:t>
      </w:r>
      <w:r w:rsidRPr="00766D80">
        <w:rPr>
          <w:rFonts w:ascii="Cambria" w:hAnsi="Cambria"/>
          <w:i/>
          <w:iCs/>
          <w:color w:val="000000" w:themeColor="text1"/>
          <w:sz w:val="23"/>
          <w:szCs w:val="23"/>
        </w:rPr>
        <w:t xml:space="preserve"> is amended to include both: </w:t>
      </w:r>
    </w:p>
    <w:p w14:paraId="5B59817D" w14:textId="77777777" w:rsidR="00624C9A" w:rsidRPr="00766D80" w:rsidRDefault="00624C9A" w:rsidP="00624C9A">
      <w:pPr>
        <w:pStyle w:val="ListParagraph"/>
        <w:numPr>
          <w:ilvl w:val="0"/>
          <w:numId w:val="3"/>
        </w:numPr>
        <w:jc w:val="both"/>
        <w:rPr>
          <w:rFonts w:ascii="Cambria" w:hAnsi="Cambria"/>
          <w:i/>
          <w:iCs/>
          <w:color w:val="000000" w:themeColor="text1"/>
          <w:sz w:val="23"/>
          <w:szCs w:val="23"/>
        </w:rPr>
      </w:pPr>
      <w:r w:rsidRPr="00766D80">
        <w:rPr>
          <w:rFonts w:ascii="Cambria" w:hAnsi="Cambria"/>
          <w:i/>
          <w:iCs/>
          <w:color w:val="000000" w:themeColor="text1"/>
          <w:sz w:val="23"/>
          <w:szCs w:val="23"/>
        </w:rPr>
        <w:t>A person’s emotional, affectional and sexual attraction to, or intimate or sexual relations with, persons of a different gender or the same gender or more than one gender; or</w:t>
      </w:r>
    </w:p>
    <w:p w14:paraId="4D4B449F" w14:textId="47B2132B" w:rsidR="00624C9A" w:rsidRPr="00766D80" w:rsidRDefault="00624C9A" w:rsidP="00624C9A">
      <w:pPr>
        <w:pStyle w:val="ListParagraph"/>
        <w:numPr>
          <w:ilvl w:val="0"/>
          <w:numId w:val="3"/>
        </w:numPr>
        <w:jc w:val="both"/>
        <w:rPr>
          <w:rFonts w:ascii="Cambria" w:hAnsi="Cambria"/>
          <w:i/>
          <w:iCs/>
          <w:color w:val="000000" w:themeColor="text1"/>
          <w:sz w:val="23"/>
          <w:szCs w:val="23"/>
        </w:rPr>
      </w:pPr>
      <w:r w:rsidRPr="00766D80">
        <w:rPr>
          <w:rFonts w:ascii="Cambria" w:hAnsi="Cambria"/>
          <w:i/>
          <w:iCs/>
          <w:color w:val="000000" w:themeColor="text1"/>
          <w:sz w:val="23"/>
          <w:szCs w:val="23"/>
        </w:rPr>
        <w:t xml:space="preserve"> A person’s lack of emotional, affectional and sexual attraction to, or intimate or sexual relations with, any person of any gender.</w:t>
      </w:r>
    </w:p>
    <w:p w14:paraId="7AF7F00F" w14:textId="77777777" w:rsidR="00255FAD" w:rsidRPr="00255FAD" w:rsidRDefault="00255FAD" w:rsidP="008C2524">
      <w:pPr>
        <w:ind w:right="-347"/>
        <w:jc w:val="both"/>
        <w:rPr>
          <w:rFonts w:ascii="Cambria" w:hAnsi="Cambria"/>
          <w:b/>
          <w:bCs/>
          <w:color w:val="000000" w:themeColor="text1"/>
        </w:rPr>
      </w:pPr>
    </w:p>
    <w:p w14:paraId="2A7EBE32" w14:textId="34CB6BEB" w:rsidR="00087D56" w:rsidRPr="00255FAD" w:rsidRDefault="00087D56" w:rsidP="008C2524">
      <w:pPr>
        <w:ind w:right="-347"/>
        <w:jc w:val="both"/>
        <w:rPr>
          <w:rFonts w:ascii="Cambria" w:hAnsi="Cambria"/>
          <w:b/>
          <w:bCs/>
          <w:color w:val="000000" w:themeColor="text1"/>
        </w:rPr>
      </w:pPr>
      <w:r w:rsidRPr="00255FAD">
        <w:rPr>
          <w:rFonts w:ascii="Cambria" w:hAnsi="Cambria"/>
          <w:b/>
          <w:bCs/>
          <w:color w:val="000000" w:themeColor="text1"/>
        </w:rPr>
        <w:t>Criminal offence</w:t>
      </w:r>
    </w:p>
    <w:p w14:paraId="6E0E52D6" w14:textId="6478188A" w:rsidR="00701352" w:rsidRPr="00255FAD" w:rsidRDefault="00701352" w:rsidP="00701352">
      <w:pPr>
        <w:ind w:right="-347"/>
        <w:jc w:val="both"/>
        <w:rPr>
          <w:rFonts w:ascii="Cambria" w:hAnsi="Cambria"/>
          <w:color w:val="000000" w:themeColor="text1"/>
        </w:rPr>
      </w:pPr>
      <w:r w:rsidRPr="00255FAD">
        <w:rPr>
          <w:rFonts w:ascii="Cambria" w:hAnsi="Cambria"/>
          <w:color w:val="000000" w:themeColor="text1"/>
        </w:rPr>
        <w:t>We strongly support the principles set out in Clause 8 of the Bill including that “conversion practices are deceptive and harmful to the persons subjected to them… and should be denounced and eliminated as far as possible”.</w:t>
      </w:r>
      <w:r w:rsidRPr="00255FAD">
        <w:rPr>
          <w:rStyle w:val="FootnoteReference"/>
          <w:rFonts w:ascii="Cambria" w:hAnsi="Cambria"/>
          <w:color w:val="000000" w:themeColor="text1"/>
        </w:rPr>
        <w:footnoteReference w:id="26"/>
      </w:r>
      <w:r w:rsidRPr="00255FAD">
        <w:rPr>
          <w:rFonts w:ascii="Cambria" w:hAnsi="Cambria"/>
          <w:color w:val="000000" w:themeColor="text1"/>
        </w:rPr>
        <w:t xml:space="preserve"> The inherent harm of conversion practices is recognised in clause 10 of the Bill which expressly provides that a person is guilty of an </w:t>
      </w:r>
      <w:r w:rsidRPr="00255FAD">
        <w:rPr>
          <w:rFonts w:ascii="Cambria" w:hAnsi="Cambria"/>
          <w:color w:val="000000" w:themeColor="text1"/>
        </w:rPr>
        <w:lastRenderedPageBreak/>
        <w:t>indictable offence if a conversion practice is directed towards a child.</w:t>
      </w:r>
      <w:r w:rsidRPr="00255FAD">
        <w:rPr>
          <w:rStyle w:val="FootnoteReference"/>
          <w:rFonts w:ascii="Cambria" w:hAnsi="Cambria"/>
          <w:color w:val="000000" w:themeColor="text1"/>
        </w:rPr>
        <w:footnoteReference w:id="27"/>
      </w:r>
      <w:r w:rsidRPr="00255FAD">
        <w:rPr>
          <w:rFonts w:ascii="Cambria" w:hAnsi="Cambria"/>
          <w:color w:val="000000" w:themeColor="text1"/>
        </w:rPr>
        <w:t xml:space="preserve"> This can be contrasted with clause 9 of the Bill which addresses conversion practices involving adults, requiring a prosecutor to prove that the offender cause</w:t>
      </w:r>
      <w:r w:rsidR="009203F5" w:rsidRPr="00255FAD">
        <w:rPr>
          <w:rFonts w:ascii="Cambria" w:hAnsi="Cambria"/>
          <w:color w:val="000000" w:themeColor="text1"/>
        </w:rPr>
        <w:t>d</w:t>
      </w:r>
      <w:r w:rsidRPr="00255FAD">
        <w:rPr>
          <w:rFonts w:ascii="Cambria" w:hAnsi="Cambria"/>
          <w:color w:val="000000" w:themeColor="text1"/>
        </w:rPr>
        <w:t xml:space="preserve"> injury or was </w:t>
      </w:r>
      <w:r w:rsidR="00F031F7" w:rsidRPr="00255FAD">
        <w:rPr>
          <w:rFonts w:ascii="Cambria" w:hAnsi="Cambria"/>
          <w:color w:val="000000" w:themeColor="text1"/>
        </w:rPr>
        <w:t>reckless as to causing injury</w:t>
      </w:r>
      <w:r w:rsidRPr="00255FAD">
        <w:rPr>
          <w:rFonts w:ascii="Cambria" w:hAnsi="Cambria"/>
          <w:color w:val="000000" w:themeColor="text1"/>
        </w:rPr>
        <w:t xml:space="preserve">. </w:t>
      </w:r>
      <w:r w:rsidR="00F146F8" w:rsidRPr="00255FAD">
        <w:rPr>
          <w:rFonts w:ascii="Cambria" w:hAnsi="Cambria"/>
          <w:color w:val="000000" w:themeColor="text1"/>
        </w:rPr>
        <w:t xml:space="preserve">The inherent harm of conversion practices means that no distinction should be made between adults and children. </w:t>
      </w:r>
      <w:r w:rsidRPr="00255FAD">
        <w:rPr>
          <w:rFonts w:ascii="Cambria" w:hAnsi="Cambria"/>
          <w:color w:val="000000" w:themeColor="text1"/>
        </w:rPr>
        <w:t xml:space="preserve">To ensure consistency with the Bill’s principles, we recommend that </w:t>
      </w:r>
      <w:r w:rsidR="00AC055A" w:rsidRPr="00255FAD">
        <w:rPr>
          <w:rFonts w:ascii="Cambria" w:hAnsi="Cambria"/>
          <w:color w:val="000000" w:themeColor="text1"/>
        </w:rPr>
        <w:t xml:space="preserve">the requirement that the conversion practice cause injury be removed from </w:t>
      </w:r>
      <w:r w:rsidRPr="00255FAD">
        <w:rPr>
          <w:rFonts w:ascii="Cambria" w:hAnsi="Cambria"/>
          <w:color w:val="000000" w:themeColor="text1"/>
        </w:rPr>
        <w:t>clause 9</w:t>
      </w:r>
      <w:r w:rsidR="00AC055A" w:rsidRPr="00255FAD">
        <w:rPr>
          <w:rFonts w:ascii="Cambria" w:hAnsi="Cambria"/>
          <w:color w:val="000000" w:themeColor="text1"/>
        </w:rPr>
        <w:t xml:space="preserve"> of the Bill. </w:t>
      </w:r>
    </w:p>
    <w:p w14:paraId="3BC26E26" w14:textId="77777777" w:rsidR="00A232B5" w:rsidRPr="00255FAD" w:rsidRDefault="00A232B5" w:rsidP="008C2524">
      <w:pPr>
        <w:ind w:right="-347"/>
        <w:jc w:val="both"/>
        <w:rPr>
          <w:rFonts w:ascii="Cambria" w:hAnsi="Cambria"/>
          <w:b/>
          <w:bCs/>
          <w:color w:val="000000" w:themeColor="text1"/>
        </w:rPr>
      </w:pPr>
    </w:p>
    <w:p w14:paraId="7EE0FD8A" w14:textId="22B603F4" w:rsidR="005C1638" w:rsidRPr="00255FAD" w:rsidRDefault="005C1638" w:rsidP="008C2524">
      <w:pPr>
        <w:ind w:right="-347"/>
        <w:jc w:val="both"/>
        <w:rPr>
          <w:rFonts w:ascii="Cambria" w:hAnsi="Cambria"/>
          <w:b/>
          <w:bCs/>
          <w:color w:val="000000" w:themeColor="text1"/>
        </w:rPr>
      </w:pPr>
      <w:r w:rsidRPr="00255FAD">
        <w:rPr>
          <w:rFonts w:ascii="Cambria" w:hAnsi="Cambria"/>
          <w:b/>
          <w:bCs/>
          <w:color w:val="000000" w:themeColor="text1"/>
        </w:rPr>
        <w:t>Mandatory reporting</w:t>
      </w:r>
    </w:p>
    <w:p w14:paraId="05DE8E10" w14:textId="632530D0" w:rsidR="0009235A" w:rsidRPr="00255FAD" w:rsidRDefault="007E715E" w:rsidP="008C2524">
      <w:pPr>
        <w:ind w:right="-347"/>
        <w:jc w:val="both"/>
        <w:rPr>
          <w:rFonts w:ascii="Cambria" w:hAnsi="Cambria"/>
          <w:color w:val="000000" w:themeColor="text1"/>
        </w:rPr>
      </w:pPr>
      <w:r w:rsidRPr="00255FAD">
        <w:rPr>
          <w:rFonts w:ascii="Cambria" w:hAnsi="Cambria"/>
          <w:color w:val="000000" w:themeColor="text1"/>
        </w:rPr>
        <w:t xml:space="preserve">The Bill </w:t>
      </w:r>
      <w:r w:rsidR="006F3D30" w:rsidRPr="00255FAD">
        <w:rPr>
          <w:rFonts w:ascii="Cambria" w:hAnsi="Cambria"/>
          <w:color w:val="000000" w:themeColor="text1"/>
        </w:rPr>
        <w:t>requires the Commissioner to refer</w:t>
      </w:r>
      <w:r w:rsidR="00255FAD" w:rsidRPr="00255FAD">
        <w:rPr>
          <w:rFonts w:ascii="Cambria" w:hAnsi="Cambria"/>
          <w:color w:val="000000" w:themeColor="text1"/>
        </w:rPr>
        <w:t xml:space="preserve"> </w:t>
      </w:r>
      <w:r w:rsidR="006F3D30" w:rsidRPr="00255FAD">
        <w:rPr>
          <w:rFonts w:ascii="Cambria" w:hAnsi="Cambria"/>
          <w:color w:val="000000" w:themeColor="text1"/>
        </w:rPr>
        <w:t>cases of conversion practices</w:t>
      </w:r>
      <w:r w:rsidR="0009235A" w:rsidRPr="00255FAD">
        <w:rPr>
          <w:rFonts w:ascii="Cambria" w:hAnsi="Cambria"/>
          <w:color w:val="000000" w:themeColor="text1"/>
        </w:rPr>
        <w:t xml:space="preserve"> in circumstances where </w:t>
      </w:r>
      <w:r w:rsidR="00D045F2" w:rsidRPr="00255FAD">
        <w:rPr>
          <w:rFonts w:ascii="Cambria" w:hAnsi="Cambria"/>
          <w:color w:val="000000" w:themeColor="text1"/>
        </w:rPr>
        <w:t>they form the view that it “relates to conduct that should be investigated by another person, body or authority…”</w:t>
      </w:r>
      <w:r w:rsidR="00D045F2" w:rsidRPr="00255FAD">
        <w:rPr>
          <w:rStyle w:val="FootnoteReference"/>
          <w:rFonts w:ascii="Cambria" w:hAnsi="Cambria"/>
          <w:color w:val="000000" w:themeColor="text1"/>
        </w:rPr>
        <w:footnoteReference w:id="28"/>
      </w:r>
      <w:r w:rsidR="00D045F2" w:rsidRPr="00255FAD">
        <w:rPr>
          <w:rFonts w:ascii="Cambria" w:hAnsi="Cambria"/>
          <w:color w:val="000000" w:themeColor="text1"/>
        </w:rPr>
        <w:t xml:space="preserve"> However, there is no requirement for other persons, bodies or authorities to refer alleged cases of conversion practices to the Commissioner.</w:t>
      </w:r>
      <w:r w:rsidR="00F26F08" w:rsidRPr="00255FAD">
        <w:rPr>
          <w:rFonts w:ascii="Cambria" w:hAnsi="Cambria"/>
          <w:color w:val="000000" w:themeColor="text1"/>
        </w:rPr>
        <w:t xml:space="preserve"> </w:t>
      </w:r>
      <w:r w:rsidR="00D045F2" w:rsidRPr="00255FAD">
        <w:rPr>
          <w:rFonts w:ascii="Cambria" w:hAnsi="Cambria"/>
          <w:color w:val="000000" w:themeColor="text1"/>
        </w:rPr>
        <w:t>We strongly recommend that government agencies should be required to mandatorily re</w:t>
      </w:r>
      <w:r w:rsidR="00255FAD" w:rsidRPr="00255FAD">
        <w:rPr>
          <w:rFonts w:ascii="Cambria" w:hAnsi="Cambria"/>
          <w:color w:val="000000" w:themeColor="text1"/>
        </w:rPr>
        <w:t xml:space="preserve">fer suspected reports of conversion practices to the Commissioner in circumstances where the survivor or reporter consents as was recommended by Victoria’s Equal Opportunity and Human Rights Commission in its submission to the review of the </w:t>
      </w:r>
      <w:r w:rsidR="00255FAD" w:rsidRPr="00255FAD">
        <w:rPr>
          <w:rFonts w:ascii="Cambria" w:hAnsi="Cambria"/>
          <w:i/>
          <w:iCs/>
          <w:color w:val="000000" w:themeColor="text1"/>
        </w:rPr>
        <w:t xml:space="preserve">Change or Suppression (Conversion) Practices Prohibition Act 2021 </w:t>
      </w:r>
      <w:r w:rsidR="00255FAD" w:rsidRPr="00255FAD">
        <w:rPr>
          <w:rFonts w:ascii="Cambria" w:hAnsi="Cambria"/>
          <w:color w:val="000000" w:themeColor="text1"/>
        </w:rPr>
        <w:t>(Vic)</w:t>
      </w:r>
      <w:r w:rsidR="00F26F08" w:rsidRPr="00255FAD">
        <w:rPr>
          <w:rFonts w:ascii="Cambria" w:hAnsi="Cambria"/>
          <w:color w:val="000000" w:themeColor="text1"/>
        </w:rPr>
        <w:t>.</w:t>
      </w:r>
      <w:r w:rsidR="00F26F08" w:rsidRPr="00255FAD">
        <w:rPr>
          <w:rStyle w:val="FootnoteReference"/>
          <w:rFonts w:ascii="Cambria" w:hAnsi="Cambria"/>
          <w:color w:val="000000" w:themeColor="text1"/>
        </w:rPr>
        <w:footnoteReference w:id="29"/>
      </w:r>
    </w:p>
    <w:p w14:paraId="39F840F6" w14:textId="77777777" w:rsidR="00A232B5" w:rsidRPr="00255FAD" w:rsidRDefault="00A232B5" w:rsidP="008C2524">
      <w:pPr>
        <w:ind w:right="-347"/>
        <w:jc w:val="both"/>
        <w:rPr>
          <w:rFonts w:ascii="Cambria" w:hAnsi="Cambria"/>
          <w:b/>
          <w:bCs/>
          <w:color w:val="000000" w:themeColor="text1"/>
        </w:rPr>
      </w:pPr>
    </w:p>
    <w:p w14:paraId="2BE1F549" w14:textId="012D17D7" w:rsidR="00AA3FB8" w:rsidRPr="00255FAD" w:rsidRDefault="00AA3FB8" w:rsidP="008C2524">
      <w:pPr>
        <w:ind w:right="-347"/>
        <w:jc w:val="both"/>
        <w:rPr>
          <w:rFonts w:ascii="Cambria" w:hAnsi="Cambria"/>
          <w:b/>
          <w:bCs/>
          <w:color w:val="000000" w:themeColor="text1"/>
        </w:rPr>
      </w:pPr>
      <w:r w:rsidRPr="00255FAD">
        <w:rPr>
          <w:rFonts w:ascii="Cambria" w:hAnsi="Cambria"/>
          <w:b/>
          <w:bCs/>
          <w:color w:val="000000" w:themeColor="text1"/>
        </w:rPr>
        <w:t>Appropriate resourcing</w:t>
      </w:r>
    </w:p>
    <w:p w14:paraId="63762D37" w14:textId="52DBBAD5" w:rsidR="00AA3FB8" w:rsidRPr="00255FAD" w:rsidRDefault="00AA3FB8" w:rsidP="00AA3FB8">
      <w:pPr>
        <w:pStyle w:val="NoSpacing"/>
        <w:jc w:val="both"/>
        <w:rPr>
          <w:rFonts w:ascii="Cambria" w:hAnsi="Cambria"/>
          <w:color w:val="000000"/>
          <w:sz w:val="24"/>
          <w:szCs w:val="24"/>
        </w:rPr>
      </w:pPr>
      <w:r w:rsidRPr="00255FAD">
        <w:rPr>
          <w:rFonts w:ascii="Cambria" w:hAnsi="Cambria"/>
          <w:color w:val="000000"/>
          <w:sz w:val="24"/>
          <w:szCs w:val="24"/>
        </w:rPr>
        <w:t>The Office of the Anti-Discrimination Commissioner is likely to see an increase in its workload if the Bill becomes law. This is because the functions of the Commissioner will be expanded to include investigating and seeking to resolve complaints in relation to conversion practices.</w:t>
      </w:r>
      <w:r w:rsidRPr="00255FAD">
        <w:rPr>
          <w:rStyle w:val="FootnoteReference"/>
          <w:rFonts w:ascii="Cambria" w:hAnsi="Cambria"/>
          <w:color w:val="000000"/>
          <w:sz w:val="24"/>
          <w:szCs w:val="24"/>
        </w:rPr>
        <w:footnoteReference w:id="30"/>
      </w:r>
      <w:r w:rsidRPr="00255FAD">
        <w:rPr>
          <w:rFonts w:ascii="Cambria" w:hAnsi="Cambria"/>
          <w:color w:val="000000"/>
          <w:sz w:val="24"/>
          <w:szCs w:val="24"/>
        </w:rPr>
        <w:t xml:space="preserve"> However, over the following five years the workload of the OADC has increased significantly</w:t>
      </w:r>
      <w:r w:rsidR="00F26F08" w:rsidRPr="00255FAD">
        <w:rPr>
          <w:rFonts w:ascii="Cambria" w:hAnsi="Cambria"/>
          <w:color w:val="000000"/>
          <w:sz w:val="24"/>
          <w:szCs w:val="24"/>
        </w:rPr>
        <w:t xml:space="preserve"> as the following Table highlights</w:t>
      </w:r>
      <w:r w:rsidRPr="00255FAD">
        <w:rPr>
          <w:rFonts w:ascii="Cambria" w:hAnsi="Cambria"/>
          <w:color w:val="000000"/>
          <w:sz w:val="24"/>
          <w:szCs w:val="24"/>
        </w:rPr>
        <w:t xml:space="preserve">. </w:t>
      </w:r>
    </w:p>
    <w:p w14:paraId="1B60E9CD" w14:textId="77777777" w:rsidR="00AA3FB8" w:rsidRPr="00255FAD" w:rsidRDefault="00AA3FB8" w:rsidP="00AA3FB8">
      <w:pPr>
        <w:pStyle w:val="NoSpacing"/>
        <w:jc w:val="both"/>
        <w:rPr>
          <w:rFonts w:ascii="Cambria" w:hAnsi="Cambria"/>
          <w:color w:val="000000"/>
          <w:sz w:val="24"/>
          <w:szCs w:val="24"/>
        </w:rPr>
      </w:pPr>
    </w:p>
    <w:p w14:paraId="45E5108D" w14:textId="57DA9B7D" w:rsidR="00AA3FB8" w:rsidRPr="00255FAD" w:rsidRDefault="00AA3FB8" w:rsidP="00AA3FB8">
      <w:pPr>
        <w:pStyle w:val="NoSpacing"/>
        <w:jc w:val="center"/>
        <w:rPr>
          <w:rFonts w:ascii="Cambria" w:hAnsi="Cambria"/>
          <w:b/>
          <w:bCs/>
          <w:color w:val="000000"/>
          <w:sz w:val="24"/>
          <w:szCs w:val="24"/>
        </w:rPr>
      </w:pPr>
      <w:r w:rsidRPr="00255FAD">
        <w:rPr>
          <w:rFonts w:ascii="Cambria" w:hAnsi="Cambria"/>
          <w:b/>
          <w:bCs/>
          <w:color w:val="000000"/>
          <w:sz w:val="24"/>
          <w:szCs w:val="24"/>
        </w:rPr>
        <w:t>OADC Investigation and Conciliation Officer Workload</w:t>
      </w:r>
    </w:p>
    <w:tbl>
      <w:tblPr>
        <w:tblStyle w:val="TableGrid"/>
        <w:tblW w:w="0" w:type="auto"/>
        <w:jc w:val="center"/>
        <w:tblLook w:val="04A0" w:firstRow="1" w:lastRow="0" w:firstColumn="1" w:lastColumn="0" w:noHBand="0" w:noVBand="1"/>
      </w:tblPr>
      <w:tblGrid>
        <w:gridCol w:w="1802"/>
        <w:gridCol w:w="887"/>
        <w:gridCol w:w="1468"/>
        <w:gridCol w:w="1985"/>
      </w:tblGrid>
      <w:tr w:rsidR="00AA3FB8" w:rsidRPr="00255FAD" w14:paraId="2F897CBE" w14:textId="77777777" w:rsidTr="0002671A">
        <w:trPr>
          <w:jc w:val="center"/>
        </w:trPr>
        <w:tc>
          <w:tcPr>
            <w:tcW w:w="1802" w:type="dxa"/>
          </w:tcPr>
          <w:p w14:paraId="41BEE5AE" w14:textId="77777777" w:rsidR="00AA3FB8" w:rsidRPr="00255FAD" w:rsidRDefault="00AA3FB8" w:rsidP="00AA3FB8">
            <w:pPr>
              <w:pStyle w:val="NoSpacing"/>
              <w:jc w:val="both"/>
              <w:rPr>
                <w:rFonts w:ascii="Cambria" w:hAnsi="Cambria"/>
                <w:color w:val="000000"/>
                <w:sz w:val="24"/>
                <w:szCs w:val="24"/>
              </w:rPr>
            </w:pPr>
          </w:p>
        </w:tc>
        <w:tc>
          <w:tcPr>
            <w:tcW w:w="887" w:type="dxa"/>
          </w:tcPr>
          <w:p w14:paraId="537E2CF6" w14:textId="6172B3C8" w:rsidR="00AA3FB8" w:rsidRPr="00255FAD" w:rsidRDefault="00AA3FB8" w:rsidP="0002671A">
            <w:pPr>
              <w:pStyle w:val="NoSpacing"/>
              <w:rPr>
                <w:rFonts w:ascii="Cambria" w:hAnsi="Cambria"/>
                <w:b/>
                <w:bCs/>
                <w:color w:val="000000"/>
                <w:sz w:val="24"/>
                <w:szCs w:val="24"/>
              </w:rPr>
            </w:pPr>
            <w:r w:rsidRPr="00255FAD">
              <w:rPr>
                <w:rFonts w:ascii="Cambria" w:hAnsi="Cambria"/>
                <w:b/>
                <w:bCs/>
                <w:color w:val="000000"/>
                <w:sz w:val="24"/>
                <w:szCs w:val="24"/>
              </w:rPr>
              <w:t xml:space="preserve">FTE </w:t>
            </w:r>
            <w:r w:rsidR="0002671A" w:rsidRPr="00255FAD">
              <w:rPr>
                <w:rFonts w:ascii="Cambria" w:hAnsi="Cambria"/>
                <w:b/>
                <w:bCs/>
                <w:color w:val="000000"/>
                <w:sz w:val="24"/>
                <w:szCs w:val="24"/>
              </w:rPr>
              <w:t>staff</w:t>
            </w:r>
          </w:p>
        </w:tc>
        <w:tc>
          <w:tcPr>
            <w:tcW w:w="1468" w:type="dxa"/>
          </w:tcPr>
          <w:p w14:paraId="2A8FB0A9" w14:textId="33AD277F" w:rsidR="00AA3FB8" w:rsidRPr="00255FAD" w:rsidRDefault="0002671A" w:rsidP="0002671A">
            <w:pPr>
              <w:pStyle w:val="NoSpacing"/>
              <w:rPr>
                <w:rFonts w:ascii="Cambria" w:hAnsi="Cambria"/>
                <w:b/>
                <w:bCs/>
                <w:color w:val="000000"/>
                <w:sz w:val="24"/>
                <w:szCs w:val="24"/>
              </w:rPr>
            </w:pPr>
            <w:r w:rsidRPr="00255FAD">
              <w:rPr>
                <w:rFonts w:ascii="Cambria" w:hAnsi="Cambria"/>
                <w:b/>
                <w:bCs/>
                <w:color w:val="000000"/>
                <w:sz w:val="24"/>
                <w:szCs w:val="24"/>
              </w:rPr>
              <w:t>No.</w:t>
            </w:r>
            <w:r w:rsidR="00AA3FB8" w:rsidRPr="00255FAD">
              <w:rPr>
                <w:rFonts w:ascii="Cambria" w:hAnsi="Cambria"/>
                <w:b/>
                <w:bCs/>
                <w:color w:val="000000"/>
                <w:sz w:val="24"/>
                <w:szCs w:val="24"/>
              </w:rPr>
              <w:t xml:space="preserve"> of </w:t>
            </w:r>
            <w:r w:rsidRPr="00255FAD">
              <w:rPr>
                <w:rFonts w:ascii="Cambria" w:hAnsi="Cambria"/>
                <w:b/>
                <w:bCs/>
                <w:color w:val="000000"/>
                <w:sz w:val="24"/>
                <w:szCs w:val="24"/>
              </w:rPr>
              <w:t>c</w:t>
            </w:r>
            <w:r w:rsidR="00AA3FB8" w:rsidRPr="00255FAD">
              <w:rPr>
                <w:rFonts w:ascii="Cambria" w:hAnsi="Cambria"/>
                <w:b/>
                <w:bCs/>
                <w:color w:val="000000"/>
                <w:sz w:val="24"/>
                <w:szCs w:val="24"/>
              </w:rPr>
              <w:t>omplaints</w:t>
            </w:r>
          </w:p>
        </w:tc>
        <w:tc>
          <w:tcPr>
            <w:tcW w:w="1985" w:type="dxa"/>
          </w:tcPr>
          <w:p w14:paraId="65790E52" w14:textId="4F0ABA50" w:rsidR="00AA3FB8" w:rsidRPr="00255FAD" w:rsidRDefault="00AA3FB8" w:rsidP="0002671A">
            <w:pPr>
              <w:pStyle w:val="NoSpacing"/>
              <w:rPr>
                <w:rFonts w:ascii="Cambria" w:hAnsi="Cambria"/>
                <w:b/>
                <w:bCs/>
                <w:color w:val="000000"/>
                <w:sz w:val="24"/>
                <w:szCs w:val="24"/>
              </w:rPr>
            </w:pPr>
            <w:r w:rsidRPr="00255FAD">
              <w:rPr>
                <w:rFonts w:ascii="Cambria" w:hAnsi="Cambria"/>
                <w:b/>
                <w:bCs/>
                <w:color w:val="000000"/>
                <w:sz w:val="24"/>
                <w:szCs w:val="24"/>
              </w:rPr>
              <w:t>Complaints per</w:t>
            </w:r>
            <w:r w:rsidR="0002671A" w:rsidRPr="00255FAD">
              <w:rPr>
                <w:rFonts w:ascii="Cambria" w:hAnsi="Cambria"/>
                <w:b/>
                <w:bCs/>
                <w:color w:val="000000"/>
                <w:sz w:val="24"/>
                <w:szCs w:val="24"/>
              </w:rPr>
              <w:t xml:space="preserve"> s</w:t>
            </w:r>
            <w:r w:rsidRPr="00255FAD">
              <w:rPr>
                <w:rFonts w:ascii="Cambria" w:hAnsi="Cambria"/>
                <w:b/>
                <w:bCs/>
                <w:color w:val="000000"/>
                <w:sz w:val="24"/>
                <w:szCs w:val="24"/>
              </w:rPr>
              <w:t>taff member</w:t>
            </w:r>
          </w:p>
        </w:tc>
      </w:tr>
      <w:tr w:rsidR="00AA3FB8" w:rsidRPr="00255FAD" w14:paraId="5BCC8F48" w14:textId="77777777" w:rsidTr="0002671A">
        <w:trPr>
          <w:jc w:val="center"/>
        </w:trPr>
        <w:tc>
          <w:tcPr>
            <w:tcW w:w="1802" w:type="dxa"/>
          </w:tcPr>
          <w:p w14:paraId="4883556C" w14:textId="5B0EB7B2" w:rsidR="00AA3FB8" w:rsidRPr="00255FAD" w:rsidRDefault="00AA3FB8" w:rsidP="0002671A">
            <w:pPr>
              <w:pStyle w:val="NoSpacing"/>
              <w:jc w:val="center"/>
              <w:rPr>
                <w:rFonts w:ascii="Cambria" w:hAnsi="Cambria"/>
                <w:b/>
                <w:bCs/>
                <w:color w:val="000000"/>
                <w:sz w:val="24"/>
                <w:szCs w:val="24"/>
              </w:rPr>
            </w:pPr>
            <w:r w:rsidRPr="00255FAD">
              <w:rPr>
                <w:rFonts w:ascii="Cambria" w:hAnsi="Cambria"/>
                <w:b/>
                <w:bCs/>
                <w:color w:val="000000"/>
                <w:sz w:val="24"/>
                <w:szCs w:val="24"/>
              </w:rPr>
              <w:t>2020-21</w:t>
            </w:r>
          </w:p>
        </w:tc>
        <w:tc>
          <w:tcPr>
            <w:tcW w:w="887" w:type="dxa"/>
          </w:tcPr>
          <w:p w14:paraId="7170E640" w14:textId="57E443CE"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3.4</w:t>
            </w:r>
          </w:p>
        </w:tc>
        <w:tc>
          <w:tcPr>
            <w:tcW w:w="1468" w:type="dxa"/>
          </w:tcPr>
          <w:p w14:paraId="133E132C" w14:textId="05B0792B"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190</w:t>
            </w:r>
          </w:p>
        </w:tc>
        <w:tc>
          <w:tcPr>
            <w:tcW w:w="1985" w:type="dxa"/>
          </w:tcPr>
          <w:p w14:paraId="4F724471" w14:textId="541290FB"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56</w:t>
            </w:r>
          </w:p>
        </w:tc>
      </w:tr>
      <w:tr w:rsidR="00AA3FB8" w:rsidRPr="00255FAD" w14:paraId="33F3C306" w14:textId="77777777" w:rsidTr="0002671A">
        <w:trPr>
          <w:jc w:val="center"/>
        </w:trPr>
        <w:tc>
          <w:tcPr>
            <w:tcW w:w="1802" w:type="dxa"/>
          </w:tcPr>
          <w:p w14:paraId="51A198A5" w14:textId="2FE9BB25" w:rsidR="00AA3FB8" w:rsidRPr="00255FAD" w:rsidRDefault="00AA3FB8" w:rsidP="0002671A">
            <w:pPr>
              <w:pStyle w:val="NoSpacing"/>
              <w:jc w:val="center"/>
              <w:rPr>
                <w:rFonts w:ascii="Cambria" w:hAnsi="Cambria"/>
                <w:b/>
                <w:bCs/>
                <w:color w:val="000000"/>
                <w:sz w:val="24"/>
                <w:szCs w:val="24"/>
              </w:rPr>
            </w:pPr>
            <w:r w:rsidRPr="00255FAD">
              <w:rPr>
                <w:rFonts w:ascii="Cambria" w:hAnsi="Cambria"/>
                <w:b/>
                <w:bCs/>
                <w:color w:val="000000"/>
                <w:sz w:val="24"/>
                <w:szCs w:val="24"/>
              </w:rPr>
              <w:t>2021-22</w:t>
            </w:r>
          </w:p>
        </w:tc>
        <w:tc>
          <w:tcPr>
            <w:tcW w:w="887" w:type="dxa"/>
          </w:tcPr>
          <w:p w14:paraId="3F69C377" w14:textId="101A3CDA"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3.</w:t>
            </w:r>
            <w:r w:rsidR="00766D80">
              <w:rPr>
                <w:rFonts w:ascii="Cambria" w:hAnsi="Cambria"/>
                <w:color w:val="000000"/>
                <w:sz w:val="24"/>
                <w:szCs w:val="24"/>
              </w:rPr>
              <w:t>1</w:t>
            </w:r>
          </w:p>
        </w:tc>
        <w:tc>
          <w:tcPr>
            <w:tcW w:w="1468" w:type="dxa"/>
          </w:tcPr>
          <w:p w14:paraId="577C77AF" w14:textId="0702CB1F"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184</w:t>
            </w:r>
          </w:p>
        </w:tc>
        <w:tc>
          <w:tcPr>
            <w:tcW w:w="1985" w:type="dxa"/>
          </w:tcPr>
          <w:p w14:paraId="5D084B0A" w14:textId="5982388C"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5</w:t>
            </w:r>
            <w:r w:rsidR="00766D80">
              <w:rPr>
                <w:rFonts w:ascii="Cambria" w:hAnsi="Cambria"/>
                <w:color w:val="000000"/>
                <w:sz w:val="24"/>
                <w:szCs w:val="24"/>
              </w:rPr>
              <w:t>9</w:t>
            </w:r>
          </w:p>
        </w:tc>
      </w:tr>
      <w:tr w:rsidR="00AA3FB8" w:rsidRPr="00255FAD" w14:paraId="42F32030" w14:textId="77777777" w:rsidTr="0002671A">
        <w:trPr>
          <w:jc w:val="center"/>
        </w:trPr>
        <w:tc>
          <w:tcPr>
            <w:tcW w:w="1802" w:type="dxa"/>
          </w:tcPr>
          <w:p w14:paraId="298D7A8C" w14:textId="39AC5149" w:rsidR="00AA3FB8" w:rsidRPr="00255FAD" w:rsidRDefault="00AA3FB8" w:rsidP="0002671A">
            <w:pPr>
              <w:pStyle w:val="NoSpacing"/>
              <w:jc w:val="center"/>
              <w:rPr>
                <w:rFonts w:ascii="Cambria" w:hAnsi="Cambria"/>
                <w:b/>
                <w:bCs/>
                <w:color w:val="000000"/>
                <w:sz w:val="24"/>
                <w:szCs w:val="24"/>
              </w:rPr>
            </w:pPr>
            <w:r w:rsidRPr="00255FAD">
              <w:rPr>
                <w:rFonts w:ascii="Cambria" w:hAnsi="Cambria"/>
                <w:b/>
                <w:bCs/>
                <w:color w:val="000000"/>
                <w:sz w:val="24"/>
                <w:szCs w:val="24"/>
              </w:rPr>
              <w:t>2022-23</w:t>
            </w:r>
          </w:p>
        </w:tc>
        <w:tc>
          <w:tcPr>
            <w:tcW w:w="887" w:type="dxa"/>
          </w:tcPr>
          <w:p w14:paraId="33A31DA2" w14:textId="01211021"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4.</w:t>
            </w:r>
            <w:r w:rsidR="00766D80">
              <w:rPr>
                <w:rFonts w:ascii="Cambria" w:hAnsi="Cambria"/>
                <w:color w:val="000000"/>
                <w:sz w:val="24"/>
                <w:szCs w:val="24"/>
              </w:rPr>
              <w:t>1</w:t>
            </w:r>
          </w:p>
        </w:tc>
        <w:tc>
          <w:tcPr>
            <w:tcW w:w="1468" w:type="dxa"/>
          </w:tcPr>
          <w:p w14:paraId="13B4A25A" w14:textId="38D04E43"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190</w:t>
            </w:r>
          </w:p>
        </w:tc>
        <w:tc>
          <w:tcPr>
            <w:tcW w:w="1985" w:type="dxa"/>
          </w:tcPr>
          <w:p w14:paraId="13C509A6" w14:textId="2EBEDDDB"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4</w:t>
            </w:r>
            <w:r w:rsidR="00766D80">
              <w:rPr>
                <w:rFonts w:ascii="Cambria" w:hAnsi="Cambria"/>
                <w:color w:val="000000"/>
                <w:sz w:val="24"/>
                <w:szCs w:val="24"/>
              </w:rPr>
              <w:t>6</w:t>
            </w:r>
          </w:p>
        </w:tc>
      </w:tr>
      <w:tr w:rsidR="00AA3FB8" w:rsidRPr="00255FAD" w14:paraId="2D9F5A3E" w14:textId="77777777" w:rsidTr="0002671A">
        <w:trPr>
          <w:jc w:val="center"/>
        </w:trPr>
        <w:tc>
          <w:tcPr>
            <w:tcW w:w="1802" w:type="dxa"/>
          </w:tcPr>
          <w:p w14:paraId="0F162E83" w14:textId="44D3CE10" w:rsidR="00AA3FB8" w:rsidRPr="00255FAD" w:rsidRDefault="00AA3FB8" w:rsidP="0002671A">
            <w:pPr>
              <w:pStyle w:val="NoSpacing"/>
              <w:jc w:val="center"/>
              <w:rPr>
                <w:rFonts w:ascii="Cambria" w:hAnsi="Cambria"/>
                <w:b/>
                <w:bCs/>
                <w:color w:val="000000"/>
                <w:sz w:val="24"/>
                <w:szCs w:val="24"/>
              </w:rPr>
            </w:pPr>
            <w:r w:rsidRPr="00255FAD">
              <w:rPr>
                <w:rFonts w:ascii="Cambria" w:hAnsi="Cambria"/>
                <w:b/>
                <w:bCs/>
                <w:color w:val="000000"/>
                <w:sz w:val="24"/>
                <w:szCs w:val="24"/>
              </w:rPr>
              <w:t>2023-24</w:t>
            </w:r>
          </w:p>
        </w:tc>
        <w:tc>
          <w:tcPr>
            <w:tcW w:w="887" w:type="dxa"/>
          </w:tcPr>
          <w:p w14:paraId="61030D03" w14:textId="4B3B42DC"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4.</w:t>
            </w:r>
            <w:r w:rsidR="00766D80">
              <w:rPr>
                <w:rFonts w:ascii="Cambria" w:hAnsi="Cambria"/>
                <w:color w:val="000000"/>
                <w:sz w:val="24"/>
                <w:szCs w:val="24"/>
              </w:rPr>
              <w:t>1</w:t>
            </w:r>
          </w:p>
        </w:tc>
        <w:tc>
          <w:tcPr>
            <w:tcW w:w="1468" w:type="dxa"/>
          </w:tcPr>
          <w:p w14:paraId="4D1724FC" w14:textId="158F8CF2"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242</w:t>
            </w:r>
          </w:p>
        </w:tc>
        <w:tc>
          <w:tcPr>
            <w:tcW w:w="1985" w:type="dxa"/>
          </w:tcPr>
          <w:p w14:paraId="0BF2C791" w14:textId="3FF1D78F"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5</w:t>
            </w:r>
            <w:r w:rsidR="00766D80">
              <w:rPr>
                <w:rFonts w:ascii="Cambria" w:hAnsi="Cambria"/>
                <w:color w:val="000000"/>
                <w:sz w:val="24"/>
                <w:szCs w:val="24"/>
              </w:rPr>
              <w:t>9</w:t>
            </w:r>
          </w:p>
        </w:tc>
      </w:tr>
      <w:tr w:rsidR="00AA3FB8" w:rsidRPr="00255FAD" w14:paraId="37C89726" w14:textId="77777777" w:rsidTr="0002671A">
        <w:trPr>
          <w:jc w:val="center"/>
        </w:trPr>
        <w:tc>
          <w:tcPr>
            <w:tcW w:w="1802" w:type="dxa"/>
          </w:tcPr>
          <w:p w14:paraId="08B133AC" w14:textId="508D06E1" w:rsidR="00AA3FB8" w:rsidRPr="00255FAD" w:rsidRDefault="00AA3FB8" w:rsidP="0002671A">
            <w:pPr>
              <w:pStyle w:val="NoSpacing"/>
              <w:jc w:val="center"/>
              <w:rPr>
                <w:rFonts w:ascii="Cambria" w:hAnsi="Cambria"/>
                <w:b/>
                <w:bCs/>
                <w:color w:val="000000"/>
                <w:sz w:val="24"/>
                <w:szCs w:val="24"/>
              </w:rPr>
            </w:pPr>
            <w:r w:rsidRPr="00255FAD">
              <w:rPr>
                <w:rFonts w:ascii="Cambria" w:hAnsi="Cambria"/>
                <w:b/>
                <w:bCs/>
                <w:color w:val="000000"/>
                <w:sz w:val="24"/>
                <w:szCs w:val="24"/>
              </w:rPr>
              <w:t>2024-25</w:t>
            </w:r>
          </w:p>
        </w:tc>
        <w:tc>
          <w:tcPr>
            <w:tcW w:w="887" w:type="dxa"/>
          </w:tcPr>
          <w:p w14:paraId="1117F7BF" w14:textId="57A5830B"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3.</w:t>
            </w:r>
            <w:r w:rsidR="00766D80">
              <w:rPr>
                <w:rFonts w:ascii="Cambria" w:hAnsi="Cambria"/>
                <w:color w:val="000000"/>
                <w:sz w:val="24"/>
                <w:szCs w:val="24"/>
              </w:rPr>
              <w:t>2</w:t>
            </w:r>
            <w:r w:rsidRPr="00255FAD">
              <w:rPr>
                <w:rFonts w:ascii="Cambria" w:hAnsi="Cambria"/>
                <w:color w:val="000000"/>
                <w:sz w:val="24"/>
                <w:szCs w:val="24"/>
              </w:rPr>
              <w:t>3</w:t>
            </w:r>
          </w:p>
        </w:tc>
        <w:tc>
          <w:tcPr>
            <w:tcW w:w="1468" w:type="dxa"/>
          </w:tcPr>
          <w:p w14:paraId="5F881EF2" w14:textId="1BC0D11B" w:rsidR="00AA3FB8" w:rsidRPr="00255FAD" w:rsidRDefault="00AA3FB8" w:rsidP="0002671A">
            <w:pPr>
              <w:pStyle w:val="NoSpacing"/>
              <w:jc w:val="center"/>
              <w:rPr>
                <w:rFonts w:ascii="Cambria" w:hAnsi="Cambria"/>
                <w:color w:val="000000"/>
                <w:sz w:val="24"/>
                <w:szCs w:val="24"/>
              </w:rPr>
            </w:pPr>
            <w:r w:rsidRPr="00255FAD">
              <w:rPr>
                <w:rFonts w:ascii="Cambria" w:hAnsi="Cambria"/>
                <w:color w:val="000000"/>
                <w:sz w:val="24"/>
                <w:szCs w:val="24"/>
              </w:rPr>
              <w:t>261</w:t>
            </w:r>
          </w:p>
        </w:tc>
        <w:tc>
          <w:tcPr>
            <w:tcW w:w="1985" w:type="dxa"/>
          </w:tcPr>
          <w:p w14:paraId="04180B7A" w14:textId="1E57F166" w:rsidR="00AA3FB8" w:rsidRPr="00255FAD" w:rsidRDefault="00766D80" w:rsidP="0002671A">
            <w:pPr>
              <w:pStyle w:val="NoSpacing"/>
              <w:jc w:val="center"/>
              <w:rPr>
                <w:rFonts w:ascii="Cambria" w:hAnsi="Cambria"/>
                <w:color w:val="000000"/>
                <w:sz w:val="24"/>
                <w:szCs w:val="24"/>
              </w:rPr>
            </w:pPr>
            <w:r>
              <w:rPr>
                <w:rFonts w:ascii="Cambria" w:hAnsi="Cambria"/>
                <w:color w:val="000000"/>
                <w:sz w:val="24"/>
                <w:szCs w:val="24"/>
              </w:rPr>
              <w:t>81</w:t>
            </w:r>
          </w:p>
        </w:tc>
      </w:tr>
    </w:tbl>
    <w:p w14:paraId="437D315A" w14:textId="77777777" w:rsidR="00AA3FB8" w:rsidRPr="00255FAD" w:rsidRDefault="00AA3FB8" w:rsidP="00766D80">
      <w:pPr>
        <w:pStyle w:val="NoSpacing"/>
        <w:ind w:left="1418" w:right="1365"/>
        <w:jc w:val="both"/>
        <w:rPr>
          <w:rFonts w:ascii="Cambria" w:hAnsi="Cambria"/>
          <w:i/>
          <w:iCs/>
          <w:color w:val="000000"/>
          <w:sz w:val="20"/>
          <w:szCs w:val="20"/>
        </w:rPr>
      </w:pPr>
      <w:r w:rsidRPr="00255FAD">
        <w:rPr>
          <w:rFonts w:ascii="Cambria" w:hAnsi="Cambria"/>
          <w:color w:val="000000"/>
          <w:sz w:val="20"/>
          <w:szCs w:val="20"/>
        </w:rPr>
        <w:t xml:space="preserve">Source: Office of the Anti-Discrimination Commissioner, </w:t>
      </w:r>
      <w:r w:rsidRPr="00255FAD">
        <w:rPr>
          <w:rFonts w:ascii="Cambria" w:hAnsi="Cambria"/>
          <w:i/>
          <w:iCs/>
          <w:color w:val="000000"/>
          <w:sz w:val="20"/>
          <w:szCs w:val="20"/>
        </w:rPr>
        <w:t xml:space="preserve">Annual Reports </w:t>
      </w:r>
    </w:p>
    <w:p w14:paraId="53FEBA96" w14:textId="7EFF750B" w:rsidR="00AA3FB8" w:rsidRPr="00766D80" w:rsidRDefault="00AA3FB8" w:rsidP="00766D80">
      <w:pPr>
        <w:pStyle w:val="NoSpacing"/>
        <w:ind w:left="1418" w:right="1365"/>
        <w:jc w:val="both"/>
        <w:rPr>
          <w:rFonts w:ascii="Cambria" w:hAnsi="Cambria"/>
          <w:color w:val="000000"/>
          <w:sz w:val="20"/>
          <w:szCs w:val="20"/>
        </w:rPr>
      </w:pPr>
      <w:r w:rsidRPr="00255FAD">
        <w:rPr>
          <w:rFonts w:ascii="Cambria" w:hAnsi="Cambria"/>
          <w:i/>
          <w:iCs/>
          <w:color w:val="000000"/>
          <w:sz w:val="20"/>
          <w:szCs w:val="20"/>
        </w:rPr>
        <w:t>2020</w:t>
      </w:r>
      <w:r w:rsidR="00766D80">
        <w:rPr>
          <w:rFonts w:ascii="Cambria" w:hAnsi="Cambria"/>
          <w:i/>
          <w:iCs/>
          <w:color w:val="000000"/>
          <w:sz w:val="20"/>
          <w:szCs w:val="20"/>
        </w:rPr>
        <w:t>-</w:t>
      </w:r>
      <w:r w:rsidRPr="00255FAD">
        <w:rPr>
          <w:rFonts w:ascii="Cambria" w:hAnsi="Cambria"/>
          <w:i/>
          <w:iCs/>
          <w:color w:val="000000"/>
          <w:sz w:val="20"/>
          <w:szCs w:val="20"/>
        </w:rPr>
        <w:t>25</w:t>
      </w:r>
      <w:r w:rsidR="00766D80">
        <w:rPr>
          <w:rFonts w:ascii="Cambria" w:hAnsi="Cambria"/>
          <w:i/>
          <w:iCs/>
          <w:color w:val="000000"/>
          <w:sz w:val="20"/>
          <w:szCs w:val="20"/>
        </w:rPr>
        <w:t xml:space="preserve"> </w:t>
      </w:r>
      <w:r w:rsidR="00766D80">
        <w:rPr>
          <w:rFonts w:ascii="Cambria" w:hAnsi="Cambria"/>
          <w:color w:val="000000"/>
          <w:sz w:val="20"/>
          <w:szCs w:val="20"/>
        </w:rPr>
        <w:t xml:space="preserve">+ email clarification received from OADC on 3 August 2026  </w:t>
      </w:r>
    </w:p>
    <w:p w14:paraId="673CC93D" w14:textId="77777777" w:rsidR="00AA3FB8" w:rsidRPr="00255FAD" w:rsidRDefault="00AA3FB8" w:rsidP="00AA3FB8">
      <w:pPr>
        <w:pStyle w:val="NoSpacing"/>
        <w:jc w:val="both"/>
        <w:rPr>
          <w:rFonts w:ascii="Cambria" w:hAnsi="Cambria"/>
          <w:color w:val="000000"/>
          <w:sz w:val="24"/>
          <w:szCs w:val="24"/>
        </w:rPr>
      </w:pPr>
    </w:p>
    <w:p w14:paraId="625CB180" w14:textId="588BAEB6" w:rsidR="00AA3FB8" w:rsidRPr="00255FAD" w:rsidRDefault="00AA3FB8" w:rsidP="00AA3FB8">
      <w:pPr>
        <w:pStyle w:val="NoSpacing"/>
        <w:jc w:val="both"/>
        <w:rPr>
          <w:rFonts w:ascii="Cambria" w:hAnsi="Cambria"/>
          <w:color w:val="000000"/>
          <w:sz w:val="24"/>
          <w:szCs w:val="24"/>
        </w:rPr>
      </w:pPr>
      <w:r w:rsidRPr="00255FAD">
        <w:rPr>
          <w:rFonts w:ascii="Cambria" w:hAnsi="Cambria"/>
          <w:color w:val="000000"/>
          <w:sz w:val="24"/>
          <w:szCs w:val="24"/>
        </w:rPr>
        <w:t xml:space="preserve">Expressed in another way, the workload of investigation and conciliation staff within the Office of the Anti-Discrimination Commissioner has increased by 37 per cent at the same time as FTE equivalent staff has </w:t>
      </w:r>
      <w:r w:rsidR="00766D80" w:rsidRPr="00766D80">
        <w:rPr>
          <w:rFonts w:ascii="Cambria" w:hAnsi="Cambria"/>
          <w:i/>
          <w:iCs/>
          <w:color w:val="000000"/>
          <w:sz w:val="24"/>
          <w:szCs w:val="24"/>
        </w:rPr>
        <w:t>decreased</w:t>
      </w:r>
      <w:r w:rsidRPr="00255FAD">
        <w:rPr>
          <w:rFonts w:ascii="Cambria" w:hAnsi="Cambria"/>
          <w:color w:val="000000"/>
          <w:sz w:val="24"/>
          <w:szCs w:val="24"/>
        </w:rPr>
        <w:t xml:space="preserve"> by </w:t>
      </w:r>
      <w:r w:rsidR="00766D80">
        <w:rPr>
          <w:rFonts w:ascii="Cambria" w:hAnsi="Cambria"/>
          <w:color w:val="000000"/>
          <w:sz w:val="24"/>
          <w:szCs w:val="24"/>
        </w:rPr>
        <w:t>9</w:t>
      </w:r>
      <w:r w:rsidRPr="00255FAD">
        <w:rPr>
          <w:rFonts w:ascii="Cambria" w:hAnsi="Cambria"/>
          <w:color w:val="000000"/>
          <w:sz w:val="24"/>
          <w:szCs w:val="24"/>
        </w:rPr>
        <w:t xml:space="preserve"> per cent. Five years ago, each investigation and conciliation officer was responsible for 56 complaints. Today, they are responsible for </w:t>
      </w:r>
      <w:r w:rsidR="00766D80">
        <w:rPr>
          <w:rFonts w:ascii="Cambria" w:hAnsi="Cambria"/>
          <w:color w:val="000000"/>
          <w:sz w:val="24"/>
          <w:szCs w:val="24"/>
        </w:rPr>
        <w:t>81</w:t>
      </w:r>
      <w:r w:rsidRPr="00255FAD">
        <w:rPr>
          <w:rFonts w:ascii="Cambria" w:hAnsi="Cambria"/>
          <w:color w:val="000000"/>
          <w:sz w:val="24"/>
          <w:szCs w:val="24"/>
        </w:rPr>
        <w:t xml:space="preserve"> complaints (a </w:t>
      </w:r>
      <w:r w:rsidR="00766D80">
        <w:rPr>
          <w:rFonts w:ascii="Cambria" w:hAnsi="Cambria"/>
          <w:color w:val="000000"/>
          <w:sz w:val="24"/>
          <w:szCs w:val="24"/>
        </w:rPr>
        <w:t>4</w:t>
      </w:r>
      <w:r w:rsidRPr="00255FAD">
        <w:rPr>
          <w:rFonts w:ascii="Cambria" w:hAnsi="Cambria"/>
          <w:color w:val="000000"/>
          <w:sz w:val="24"/>
          <w:szCs w:val="24"/>
        </w:rPr>
        <w:t xml:space="preserve">5 per cent increase). If the Bill is passed it is critical that appropriate additional resources are </w:t>
      </w:r>
      <w:r w:rsidR="0002671A" w:rsidRPr="00255FAD">
        <w:rPr>
          <w:rFonts w:ascii="Cambria" w:hAnsi="Cambria"/>
          <w:color w:val="000000"/>
          <w:sz w:val="24"/>
          <w:szCs w:val="24"/>
        </w:rPr>
        <w:t>made available to the OADC</w:t>
      </w:r>
      <w:r w:rsidRPr="00255FAD">
        <w:rPr>
          <w:rFonts w:ascii="Cambria" w:hAnsi="Cambria"/>
          <w:color w:val="000000"/>
          <w:sz w:val="24"/>
          <w:szCs w:val="24"/>
        </w:rPr>
        <w:t xml:space="preserve">.   </w:t>
      </w:r>
    </w:p>
    <w:p w14:paraId="319D6351" w14:textId="77777777" w:rsidR="0009173E" w:rsidRPr="00255FAD" w:rsidRDefault="0009173E" w:rsidP="0009173E">
      <w:pPr>
        <w:pStyle w:val="NoSpacing"/>
        <w:jc w:val="both"/>
        <w:rPr>
          <w:rFonts w:ascii="Cambria" w:hAnsi="Cambria"/>
          <w:color w:val="000000" w:themeColor="text1"/>
          <w:sz w:val="24"/>
          <w:szCs w:val="24"/>
        </w:rPr>
      </w:pPr>
    </w:p>
    <w:p w14:paraId="7DF7E846" w14:textId="77777777" w:rsidR="0009173E" w:rsidRPr="00255FAD" w:rsidRDefault="0009173E" w:rsidP="0009173E">
      <w:pPr>
        <w:pStyle w:val="NoSpacing"/>
        <w:jc w:val="both"/>
        <w:rPr>
          <w:rFonts w:ascii="Cambria" w:hAnsi="Cambria"/>
          <w:color w:val="000000" w:themeColor="text1"/>
          <w:sz w:val="24"/>
          <w:szCs w:val="24"/>
        </w:rPr>
      </w:pPr>
      <w:r w:rsidRPr="00255FAD">
        <w:rPr>
          <w:rFonts w:ascii="Cambria" w:hAnsi="Cambria"/>
          <w:color w:val="000000" w:themeColor="text1"/>
          <w:sz w:val="24"/>
          <w:szCs w:val="24"/>
        </w:rPr>
        <w:t>If you have any queries, or we can be of further assistance, please do not hesitate to contact us.</w:t>
      </w:r>
    </w:p>
    <w:p w14:paraId="2A96BB12" w14:textId="77777777" w:rsidR="0009173E" w:rsidRPr="00255FAD" w:rsidRDefault="0009173E" w:rsidP="0009173E">
      <w:pPr>
        <w:pStyle w:val="NoSpacing"/>
        <w:jc w:val="both"/>
        <w:rPr>
          <w:rFonts w:ascii="Cambria" w:hAnsi="Cambria"/>
          <w:color w:val="000000" w:themeColor="text1"/>
          <w:sz w:val="24"/>
          <w:szCs w:val="24"/>
        </w:rPr>
      </w:pPr>
    </w:p>
    <w:p w14:paraId="73935BC1" w14:textId="77777777" w:rsidR="0009173E" w:rsidRPr="00255FAD" w:rsidRDefault="0009173E" w:rsidP="0009173E">
      <w:pPr>
        <w:pStyle w:val="NoSpacing"/>
        <w:jc w:val="both"/>
        <w:rPr>
          <w:rFonts w:ascii="Cambria" w:hAnsi="Cambria"/>
          <w:color w:val="000000" w:themeColor="text1"/>
          <w:sz w:val="24"/>
          <w:szCs w:val="24"/>
        </w:rPr>
      </w:pPr>
      <w:r w:rsidRPr="00255FAD">
        <w:rPr>
          <w:rFonts w:ascii="Cambria" w:hAnsi="Cambria"/>
          <w:color w:val="000000" w:themeColor="text1"/>
          <w:sz w:val="24"/>
          <w:szCs w:val="24"/>
        </w:rPr>
        <w:t>Yours sincerely,</w:t>
      </w:r>
    </w:p>
    <w:p w14:paraId="0578A09E" w14:textId="6F69F2D0" w:rsidR="00F26F08" w:rsidRDefault="00F26F08" w:rsidP="0009173E">
      <w:pPr>
        <w:pStyle w:val="NoSpacing"/>
        <w:jc w:val="both"/>
        <w:rPr>
          <w:rFonts w:ascii="Cambria" w:hAnsi="Cambria"/>
          <w:color w:val="000000" w:themeColor="text1"/>
          <w:sz w:val="24"/>
          <w:szCs w:val="24"/>
        </w:rPr>
      </w:pPr>
    </w:p>
    <w:p w14:paraId="6D267865" w14:textId="77777777" w:rsidR="00007B89" w:rsidRPr="00255FAD" w:rsidRDefault="00007B89" w:rsidP="0009173E">
      <w:pPr>
        <w:pStyle w:val="NoSpacing"/>
        <w:jc w:val="both"/>
        <w:rPr>
          <w:rFonts w:ascii="Cambria" w:hAnsi="Cambria"/>
          <w:color w:val="000000" w:themeColor="text1"/>
          <w:sz w:val="24"/>
          <w:szCs w:val="24"/>
        </w:rPr>
      </w:pPr>
    </w:p>
    <w:p w14:paraId="21037B2D" w14:textId="77777777" w:rsidR="0009173E" w:rsidRPr="00255FAD" w:rsidRDefault="0009173E" w:rsidP="0009173E">
      <w:pPr>
        <w:pStyle w:val="NoSpacing"/>
        <w:jc w:val="both"/>
        <w:rPr>
          <w:rFonts w:ascii="Cambria" w:hAnsi="Cambria"/>
          <w:color w:val="000000" w:themeColor="text1"/>
          <w:sz w:val="24"/>
          <w:szCs w:val="24"/>
        </w:rPr>
      </w:pPr>
      <w:r w:rsidRPr="00255FAD">
        <w:rPr>
          <w:rFonts w:ascii="Cambria" w:hAnsi="Cambria"/>
          <w:color w:val="000000" w:themeColor="text1"/>
          <w:sz w:val="24"/>
          <w:szCs w:val="24"/>
        </w:rPr>
        <w:t>Benedict Bartl</w:t>
      </w:r>
    </w:p>
    <w:p w14:paraId="1D993701" w14:textId="77777777" w:rsidR="0009173E" w:rsidRPr="00255FAD" w:rsidRDefault="0009173E" w:rsidP="0009173E">
      <w:pPr>
        <w:pStyle w:val="NoSpacing"/>
        <w:jc w:val="both"/>
        <w:rPr>
          <w:rFonts w:ascii="Cambria" w:hAnsi="Cambria"/>
          <w:color w:val="000000" w:themeColor="text1"/>
          <w:sz w:val="24"/>
          <w:szCs w:val="24"/>
        </w:rPr>
      </w:pPr>
      <w:r w:rsidRPr="00255FAD">
        <w:rPr>
          <w:rFonts w:ascii="Cambria" w:hAnsi="Cambria"/>
          <w:color w:val="000000" w:themeColor="text1"/>
          <w:sz w:val="24"/>
          <w:szCs w:val="24"/>
        </w:rPr>
        <w:t>Policy Officer</w:t>
      </w:r>
    </w:p>
    <w:p w14:paraId="60CF2547" w14:textId="4017E70A" w:rsidR="0009173E" w:rsidRPr="00255FAD" w:rsidRDefault="0009173E" w:rsidP="00CF6E71">
      <w:pPr>
        <w:pStyle w:val="NoSpacing"/>
        <w:pBdr>
          <w:bottom w:val="single" w:sz="6" w:space="1" w:color="auto"/>
        </w:pBdr>
        <w:jc w:val="both"/>
        <w:rPr>
          <w:rFonts w:ascii="Cambria" w:hAnsi="Cambria"/>
          <w:b/>
          <w:bCs/>
          <w:color w:val="000000" w:themeColor="text1"/>
          <w:sz w:val="24"/>
          <w:szCs w:val="24"/>
        </w:rPr>
      </w:pPr>
      <w:r w:rsidRPr="00255FAD">
        <w:rPr>
          <w:rFonts w:ascii="Cambria" w:hAnsi="Cambria"/>
          <w:b/>
          <w:bCs/>
          <w:color w:val="000000" w:themeColor="text1"/>
          <w:sz w:val="24"/>
          <w:szCs w:val="24"/>
        </w:rPr>
        <w:t>Community Legal Centres Tasmania</w:t>
      </w:r>
    </w:p>
    <w:p w14:paraId="762F1DD5" w14:textId="77777777" w:rsidR="00D81A3A" w:rsidRPr="00255FAD" w:rsidRDefault="00D81A3A">
      <w:pPr>
        <w:rPr>
          <w:rFonts w:ascii="Cambria" w:hAnsi="Cambria"/>
        </w:rPr>
      </w:pPr>
    </w:p>
    <w:sectPr w:rsidR="00D81A3A" w:rsidRPr="00255FAD" w:rsidSect="0009173E">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5FE73" w14:textId="77777777" w:rsidR="009D260D" w:rsidRDefault="009D260D" w:rsidP="0009173E">
      <w:r>
        <w:separator/>
      </w:r>
    </w:p>
  </w:endnote>
  <w:endnote w:type="continuationSeparator" w:id="0">
    <w:p w14:paraId="070013A7" w14:textId="77777777" w:rsidR="009D260D" w:rsidRDefault="009D260D" w:rsidP="0009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8630273"/>
      <w:docPartObj>
        <w:docPartGallery w:val="Page Numbers (Bottom of Page)"/>
        <w:docPartUnique/>
      </w:docPartObj>
    </w:sdtPr>
    <w:sdtContent>
      <w:p w14:paraId="47FA2E17" w14:textId="77777777" w:rsidR="0009173E" w:rsidRDefault="0009173E" w:rsidP="0011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C70A6F" w14:textId="77777777" w:rsidR="0009173E" w:rsidRDefault="0009173E" w:rsidP="00FA3B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4912870"/>
      <w:docPartObj>
        <w:docPartGallery w:val="Page Numbers (Bottom of Page)"/>
        <w:docPartUnique/>
      </w:docPartObj>
    </w:sdtPr>
    <w:sdtContent>
      <w:p w14:paraId="1943B01B" w14:textId="77777777" w:rsidR="0009173E" w:rsidRDefault="0009173E" w:rsidP="0011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54C7CCE1" w14:textId="77777777" w:rsidR="0009173E" w:rsidRDefault="0009173E" w:rsidP="00FA3B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127AD" w14:textId="77777777" w:rsidR="009D260D" w:rsidRDefault="009D260D" w:rsidP="0009173E">
      <w:r>
        <w:separator/>
      </w:r>
    </w:p>
  </w:footnote>
  <w:footnote w:type="continuationSeparator" w:id="0">
    <w:p w14:paraId="1A4C0121" w14:textId="77777777" w:rsidR="009D260D" w:rsidRDefault="009D260D" w:rsidP="0009173E">
      <w:r>
        <w:continuationSeparator/>
      </w:r>
    </w:p>
  </w:footnote>
  <w:footnote w:id="1">
    <w:p w14:paraId="55F1C26D" w14:textId="77777777" w:rsidR="0009173E" w:rsidRPr="00766D80" w:rsidRDefault="0009173E" w:rsidP="0009173E">
      <w:pPr>
        <w:pStyle w:val="FootnoteText"/>
        <w:rPr>
          <w:rFonts w:ascii="Cambria" w:hAnsi="Cambria"/>
          <w:color w:val="000000" w:themeColor="text1"/>
        </w:rPr>
      </w:pPr>
      <w:r w:rsidRPr="00766D80">
        <w:rPr>
          <w:rStyle w:val="FootnoteReference"/>
          <w:rFonts w:ascii="Cambria" w:eastAsiaTheme="majorEastAsia" w:hAnsi="Cambria"/>
          <w:color w:val="000000" w:themeColor="text1"/>
        </w:rPr>
        <w:footnoteRef/>
      </w:r>
      <w:r w:rsidRPr="00766D80">
        <w:rPr>
          <w:rFonts w:ascii="Cambria" w:hAnsi="Cambria"/>
          <w:color w:val="000000" w:themeColor="text1"/>
        </w:rPr>
        <w:t xml:space="preserve"> CLC Tas would like to acknowledge those persons and organisations who gave freely of their time in assisting with our submission. </w:t>
      </w:r>
    </w:p>
  </w:footnote>
  <w:footnote w:id="2">
    <w:p w14:paraId="2F44BDBC" w14:textId="77777777" w:rsidR="0009173E" w:rsidRPr="00766D80" w:rsidRDefault="0009173E" w:rsidP="0009173E">
      <w:pPr>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United Nations, ‘United Nations Entities Call on States to Act Urgently to End Violence and Discrimination against Lesbian, Gay, Bisexual, Transgender and Intersex (LGBTI) Adults, Adolescents and Children’ (Statement, September 2015). As found at  </w:t>
      </w:r>
      <w:hyperlink r:id="rId1" w:history="1">
        <w:r w:rsidRPr="00766D80">
          <w:rPr>
            <w:rStyle w:val="Hyperlink"/>
            <w:rFonts w:ascii="Cambria" w:hAnsi="Cambria"/>
            <w:sz w:val="20"/>
            <w:szCs w:val="20"/>
          </w:rPr>
          <w:t>http://www.ohchr.org/Documents/Issues/Discrimination/Joint_LGBTI_Statement_ENG.PDF</w:t>
        </w:r>
      </w:hyperlink>
      <w:r w:rsidRPr="00766D80">
        <w:rPr>
          <w:rFonts w:ascii="Cambria" w:hAnsi="Cambria"/>
          <w:sz w:val="20"/>
          <w:szCs w:val="20"/>
        </w:rPr>
        <w:t xml:space="preserve"> (Accessed 31 January 2021). </w:t>
      </w:r>
    </w:p>
  </w:footnote>
  <w:footnote w:id="3">
    <w:p w14:paraId="7B2F9A01" w14:textId="77777777" w:rsidR="0009173E" w:rsidRPr="00766D80" w:rsidRDefault="0009173E" w:rsidP="0009173E">
      <w:pPr>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United Nations Committee on the Rights of the Child, General comment No. 20 (2016) On the implementation of the rights of the child during adolescence (6 December 2016) para. 34. As found at </w:t>
      </w:r>
      <w:hyperlink r:id="rId2" w:history="1">
        <w:r w:rsidRPr="00766D80">
          <w:rPr>
            <w:rStyle w:val="Hyperlink"/>
            <w:rFonts w:ascii="Cambria" w:hAnsi="Cambria"/>
            <w:sz w:val="20"/>
            <w:szCs w:val="20"/>
          </w:rPr>
          <w:t>https://www.refworld.org/docid/589dad3d4.html</w:t>
        </w:r>
      </w:hyperlink>
      <w:r w:rsidRPr="00766D80">
        <w:rPr>
          <w:rFonts w:ascii="Cambria" w:hAnsi="Cambria"/>
          <w:sz w:val="20"/>
          <w:szCs w:val="20"/>
        </w:rPr>
        <w:t xml:space="preserve"> (Accessed 31 January 2021).  </w:t>
      </w:r>
    </w:p>
  </w:footnote>
  <w:footnote w:id="4">
    <w:p w14:paraId="6C3407DB" w14:textId="77777777" w:rsidR="0009173E" w:rsidRPr="00766D80" w:rsidRDefault="0009173E" w:rsidP="0009173E">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Australian Medical Association, Sexual Diversity and Gender Identity Position Statement, para. 6.10; Australian Psychological Society, APS Position Statement on Psychological Practices that attempt to change Sexual Orientation (2015). As found at </w:t>
      </w:r>
      <w:hyperlink r:id="rId3" w:history="1">
        <w:r w:rsidRPr="00766D80">
          <w:rPr>
            <w:rStyle w:val="Hyperlink"/>
            <w:rFonts w:ascii="Cambria" w:hAnsi="Cambria"/>
          </w:rPr>
          <w:t>https://www.psychology.org.au/getmedia/ebd486a2-761c-403c-bdef-406fda87dc4b/Position-Statement-Sexual-Orientation.pdf</w:t>
        </w:r>
      </w:hyperlink>
      <w:r w:rsidRPr="00766D80">
        <w:rPr>
          <w:rFonts w:ascii="Cambria" w:hAnsi="Cambria"/>
        </w:rPr>
        <w:t xml:space="preserve"> (Accessed 31 January 2021).</w:t>
      </w:r>
    </w:p>
  </w:footnote>
  <w:footnote w:id="5">
    <w:p w14:paraId="3D5876E9" w14:textId="77777777" w:rsidR="0009173E" w:rsidRPr="00766D80" w:rsidRDefault="0009173E" w:rsidP="0009173E">
      <w:pPr>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United Nations, ‘Practices of so-called “conversion therapy”’, Report of the Independent Expert on protection against violence and discrimination based on sexual orientation and gender identity, Victor Madrigal-</w:t>
      </w:r>
      <w:proofErr w:type="spellStart"/>
      <w:r w:rsidRPr="00766D80">
        <w:rPr>
          <w:rFonts w:ascii="Cambria" w:hAnsi="Cambria"/>
          <w:sz w:val="20"/>
          <w:szCs w:val="20"/>
        </w:rPr>
        <w:t>Borloz</w:t>
      </w:r>
      <w:proofErr w:type="spellEnd"/>
      <w:r w:rsidRPr="00766D80">
        <w:rPr>
          <w:rFonts w:ascii="Cambria" w:hAnsi="Cambria"/>
          <w:sz w:val="20"/>
          <w:szCs w:val="20"/>
        </w:rPr>
        <w:t xml:space="preserve">, UN GAOR, 44th </w:t>
      </w:r>
      <w:proofErr w:type="spellStart"/>
      <w:r w:rsidRPr="00766D80">
        <w:rPr>
          <w:rFonts w:ascii="Cambria" w:hAnsi="Cambria"/>
          <w:sz w:val="20"/>
          <w:szCs w:val="20"/>
        </w:rPr>
        <w:t>sess</w:t>
      </w:r>
      <w:proofErr w:type="spellEnd"/>
      <w:r w:rsidRPr="00766D80">
        <w:rPr>
          <w:rFonts w:ascii="Cambria" w:hAnsi="Cambria"/>
          <w:sz w:val="20"/>
          <w:szCs w:val="20"/>
        </w:rPr>
        <w:t xml:space="preserve">, Agenda Item 3, UN Doc A/HRC/44/53 (1 May 2020) at para. 17. </w:t>
      </w:r>
    </w:p>
  </w:footnote>
  <w:footnote w:id="6">
    <w:p w14:paraId="05D69719" w14:textId="77777777" w:rsidR="0009173E" w:rsidRPr="00766D80" w:rsidRDefault="0009173E" w:rsidP="0009173E">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Article 12 of the </w:t>
      </w:r>
      <w:r w:rsidRPr="00766D80">
        <w:rPr>
          <w:rFonts w:ascii="Cambria" w:hAnsi="Cambria"/>
          <w:i/>
          <w:iCs/>
        </w:rPr>
        <w:t>International Covenant on Economic, Social and Cultural Rights</w:t>
      </w:r>
      <w:r w:rsidRPr="00766D80">
        <w:rPr>
          <w:rFonts w:ascii="Cambria" w:hAnsi="Cambria"/>
        </w:rPr>
        <w:t xml:space="preserve">.  </w:t>
      </w:r>
    </w:p>
  </w:footnote>
  <w:footnote w:id="7">
    <w:p w14:paraId="146F5461" w14:textId="77777777" w:rsidR="0009173E" w:rsidRPr="00766D80" w:rsidRDefault="0009173E" w:rsidP="0009173E">
      <w:pPr>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Articles 2(1), 17 and 26 of the </w:t>
      </w:r>
      <w:r w:rsidRPr="00766D80">
        <w:rPr>
          <w:rFonts w:ascii="Cambria" w:hAnsi="Cambria"/>
          <w:i/>
          <w:iCs/>
          <w:sz w:val="20"/>
          <w:szCs w:val="20"/>
        </w:rPr>
        <w:t>International Covenant on Civil and Political Rights</w:t>
      </w:r>
      <w:r w:rsidRPr="00766D80">
        <w:rPr>
          <w:rFonts w:ascii="Cambria" w:hAnsi="Cambria"/>
          <w:sz w:val="20"/>
          <w:szCs w:val="20"/>
        </w:rPr>
        <w:t xml:space="preserve">.  </w:t>
      </w:r>
    </w:p>
  </w:footnote>
  <w:footnote w:id="8">
    <w:p w14:paraId="0E04CCDB" w14:textId="62778D17" w:rsidR="0009173E" w:rsidRPr="00766D80" w:rsidRDefault="0009173E" w:rsidP="0009173E">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United Nations Committee on the Rights of the Child, General comment No. 20 (2016) On the implementation of the rights of the child during adolescence (6 December 2016) para. 34. As found at </w:t>
      </w:r>
      <w:hyperlink r:id="rId4" w:history="1">
        <w:r w:rsidRPr="00766D80">
          <w:rPr>
            <w:rStyle w:val="Hyperlink"/>
            <w:rFonts w:ascii="Cambria" w:hAnsi="Cambria"/>
          </w:rPr>
          <w:t>https://www.refworld.org/docid/589dad3d4.html</w:t>
        </w:r>
      </w:hyperlink>
      <w:r w:rsidRPr="00766D80">
        <w:rPr>
          <w:rFonts w:ascii="Cambria" w:hAnsi="Cambria"/>
        </w:rPr>
        <w:t xml:space="preserve"> (</w:t>
      </w:r>
      <w:r w:rsidR="00766D80" w:rsidRPr="00766D80">
        <w:rPr>
          <w:rFonts w:ascii="Cambria" w:hAnsi="Cambria"/>
        </w:rPr>
        <w:t>a</w:t>
      </w:r>
      <w:r w:rsidRPr="00766D80">
        <w:rPr>
          <w:rFonts w:ascii="Cambria" w:hAnsi="Cambria"/>
        </w:rPr>
        <w:t xml:space="preserve">ccessed </w:t>
      </w:r>
      <w:r w:rsidR="00766D80" w:rsidRPr="00766D80">
        <w:rPr>
          <w:rFonts w:ascii="Cambria" w:hAnsi="Cambria"/>
        </w:rPr>
        <w:t>7 August 2026</w:t>
      </w:r>
      <w:r w:rsidRPr="00766D80">
        <w:rPr>
          <w:rFonts w:ascii="Cambria" w:hAnsi="Cambria"/>
        </w:rPr>
        <w:t xml:space="preserve">).  </w:t>
      </w:r>
    </w:p>
  </w:footnote>
  <w:footnote w:id="9">
    <w:p w14:paraId="0B317992" w14:textId="164B74EA" w:rsidR="00CF6E71" w:rsidRPr="00766D80" w:rsidRDefault="00CF6E71" w:rsidP="00CF6E71">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w:t>
      </w:r>
      <w:r w:rsidR="008C2524" w:rsidRPr="00766D80">
        <w:rPr>
          <w:rFonts w:ascii="Cambria" w:hAnsi="Cambria"/>
        </w:rPr>
        <w:t xml:space="preserve">Tasmania Law Reform Institute, </w:t>
      </w:r>
      <w:r w:rsidR="008C2524" w:rsidRPr="00766D80">
        <w:rPr>
          <w:rStyle w:val="Emphasis"/>
          <w:rFonts w:ascii="Cambria" w:hAnsi="Cambria" w:cs="Segoe UI"/>
        </w:rPr>
        <w:t>Sexual Orientation and Gender Identity Conversion Practices</w:t>
      </w:r>
      <w:r w:rsidR="008C2524" w:rsidRPr="00766D80">
        <w:rPr>
          <w:rFonts w:ascii="Cambria" w:hAnsi="Cambria"/>
        </w:rPr>
        <w:t xml:space="preserve"> (Final Report No 32, April 2022), iii</w:t>
      </w:r>
      <w:r w:rsidR="008C2524" w:rsidRPr="00766D80">
        <w:rPr>
          <w:rFonts w:ascii="Cambria" w:hAnsi="Cambria"/>
          <w:color w:val="000000"/>
        </w:rPr>
        <w:t>.</w:t>
      </w:r>
    </w:p>
  </w:footnote>
  <w:footnote w:id="10">
    <w:p w14:paraId="04117F67" w14:textId="77777777" w:rsidR="00CF6E71" w:rsidRPr="00766D80" w:rsidRDefault="00CF6E71" w:rsidP="00CF6E71">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Angela Dwyer, Ruby Grant, Ron Mason and Ash Barnes, </w:t>
      </w:r>
      <w:r w:rsidRPr="00766D80">
        <w:rPr>
          <w:rFonts w:ascii="Cambria" w:hAnsi="Cambria"/>
          <w:i/>
          <w:iCs/>
        </w:rPr>
        <w:t xml:space="preserve">‘Just listen properly, like with intent’: LGBTIQ+ Tasmanians: Telling us the story </w:t>
      </w:r>
      <w:r w:rsidRPr="00766D80">
        <w:rPr>
          <w:rFonts w:ascii="Cambria" w:hAnsi="Cambria"/>
        </w:rPr>
        <w:t>(Final Report, December 2021) at 75.</w:t>
      </w:r>
    </w:p>
  </w:footnote>
  <w:footnote w:id="11">
    <w:p w14:paraId="2E515016" w14:textId="5AF747B5" w:rsidR="00CF6E71" w:rsidRPr="00766D80" w:rsidRDefault="00CF6E71" w:rsidP="008C2524">
      <w:pPr>
        <w:pStyle w:val="NoSpacing"/>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w:t>
      </w:r>
      <w:r w:rsidR="008C2524" w:rsidRPr="00766D80">
        <w:rPr>
          <w:rFonts w:ascii="Cambria" w:hAnsi="Cambria"/>
          <w:sz w:val="20"/>
          <w:szCs w:val="20"/>
        </w:rPr>
        <w:t xml:space="preserve">Tasmania Law Reform Institute, </w:t>
      </w:r>
      <w:r w:rsidR="008C2524" w:rsidRPr="00766D80">
        <w:rPr>
          <w:rStyle w:val="Emphasis"/>
          <w:rFonts w:ascii="Cambria" w:hAnsi="Cambria" w:cs="Segoe UI"/>
          <w:sz w:val="20"/>
          <w:szCs w:val="20"/>
        </w:rPr>
        <w:t>Sexual Orientation and Gender Identity Conversion Practices</w:t>
      </w:r>
      <w:r w:rsidR="008C2524" w:rsidRPr="00766D80">
        <w:rPr>
          <w:rFonts w:ascii="Cambria" w:hAnsi="Cambria"/>
          <w:sz w:val="20"/>
          <w:szCs w:val="20"/>
        </w:rPr>
        <w:t xml:space="preserve"> (Final Report No 32, April 2022),</w:t>
      </w:r>
      <w:r w:rsidRPr="00766D80">
        <w:rPr>
          <w:rFonts w:ascii="Cambria" w:hAnsi="Cambria"/>
          <w:sz w:val="20"/>
          <w:szCs w:val="20"/>
        </w:rPr>
        <w:t xml:space="preserve"> iii</w:t>
      </w:r>
      <w:r w:rsidRPr="00766D80">
        <w:rPr>
          <w:rFonts w:ascii="Cambria" w:hAnsi="Cambria"/>
          <w:color w:val="000000"/>
          <w:sz w:val="20"/>
          <w:szCs w:val="20"/>
        </w:rPr>
        <w:t xml:space="preserve">. </w:t>
      </w:r>
    </w:p>
  </w:footnote>
  <w:footnote w:id="12">
    <w:p w14:paraId="007A2247" w14:textId="77777777" w:rsidR="00CF6E71" w:rsidRPr="00766D80" w:rsidRDefault="00CF6E71" w:rsidP="00CF6E71">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Chapter 5B of the </w:t>
      </w:r>
      <w:r w:rsidRPr="00766D80">
        <w:rPr>
          <w:rFonts w:ascii="Cambria" w:hAnsi="Cambria"/>
          <w:i/>
          <w:iCs/>
        </w:rPr>
        <w:t>Public Health Act 2005</w:t>
      </w:r>
      <w:r w:rsidRPr="00766D80">
        <w:rPr>
          <w:rFonts w:ascii="Cambria" w:hAnsi="Cambria"/>
        </w:rPr>
        <w:t xml:space="preserve"> (Qld). </w:t>
      </w:r>
    </w:p>
  </w:footnote>
  <w:footnote w:id="13">
    <w:p w14:paraId="6881BFCD" w14:textId="77777777" w:rsidR="00CF6E71" w:rsidRPr="00766D80" w:rsidRDefault="00CF6E71" w:rsidP="00CF6E71">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w:t>
      </w:r>
      <w:r w:rsidRPr="00766D80">
        <w:rPr>
          <w:rFonts w:ascii="Cambria" w:hAnsi="Cambria"/>
          <w:i/>
          <w:iCs/>
        </w:rPr>
        <w:t>Sexuality and Gender Identity Conversion Practices Act 2020</w:t>
      </w:r>
      <w:r w:rsidRPr="00766D80">
        <w:rPr>
          <w:rFonts w:ascii="Cambria" w:hAnsi="Cambria"/>
        </w:rPr>
        <w:t xml:space="preserve"> (ACT); </w:t>
      </w:r>
      <w:r w:rsidRPr="00766D80">
        <w:rPr>
          <w:rFonts w:ascii="Cambria" w:hAnsi="Cambria"/>
          <w:i/>
          <w:iCs/>
        </w:rPr>
        <w:t>Change or Suppression (Conversion) Practices Prohibition Act 2021</w:t>
      </w:r>
      <w:r w:rsidRPr="00766D80">
        <w:rPr>
          <w:rFonts w:ascii="Cambria" w:hAnsi="Cambria"/>
        </w:rPr>
        <w:t xml:space="preserve"> (Vic). </w:t>
      </w:r>
    </w:p>
  </w:footnote>
  <w:footnote w:id="14">
    <w:p w14:paraId="54A81CA6" w14:textId="4578DABF" w:rsidR="00CF6E71" w:rsidRPr="00766D80" w:rsidRDefault="00CF6E71" w:rsidP="00AA3FB8">
      <w:pPr>
        <w:pStyle w:val="NoSpacing"/>
        <w:rPr>
          <w:rFonts w:ascii="Cambria" w:hAnsi="Cambria"/>
          <w:sz w:val="20"/>
          <w:szCs w:val="20"/>
        </w:rPr>
      </w:pPr>
      <w:r w:rsidRPr="00766D80">
        <w:rPr>
          <w:rStyle w:val="FootnoteReference"/>
          <w:rFonts w:ascii="Cambria" w:hAnsi="Cambria"/>
          <w:sz w:val="20"/>
          <w:szCs w:val="20"/>
        </w:rPr>
        <w:footnoteRef/>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Conversion</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Practices</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Ban</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Act</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2024</w:t>
      </w:r>
      <w:r w:rsidR="00AA3FB8" w:rsidRPr="00766D80">
        <w:rPr>
          <w:rFonts w:ascii="Cambria" w:hAnsi="Cambria"/>
          <w:sz w:val="20"/>
          <w:szCs w:val="20"/>
        </w:rPr>
        <w:t xml:space="preserve"> </w:t>
      </w:r>
      <w:r w:rsidR="00AA3FB8" w:rsidRPr="00766D80">
        <w:rPr>
          <w:rStyle w:val="1cs5bdp"/>
          <w:rFonts w:ascii="Cambria" w:hAnsi="Cambria" w:cs="Segoe UI"/>
          <w:sz w:val="20"/>
          <w:szCs w:val="20"/>
        </w:rPr>
        <w:t xml:space="preserve">(NSW); </w:t>
      </w:r>
      <w:r w:rsidR="00AA3FB8" w:rsidRPr="00766D80">
        <w:rPr>
          <w:rStyle w:val="1cs5bdp"/>
          <w:rFonts w:ascii="Cambria" w:hAnsi="Cambria" w:cs="Segoe UI"/>
          <w:i/>
          <w:iCs/>
          <w:sz w:val="20"/>
          <w:szCs w:val="20"/>
        </w:rPr>
        <w:t>Conversion</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Practices</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Prohibition</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Act</w:t>
      </w:r>
      <w:r w:rsidR="00AA3FB8" w:rsidRPr="00766D80">
        <w:rPr>
          <w:rFonts w:ascii="Cambria" w:hAnsi="Cambria"/>
          <w:sz w:val="20"/>
          <w:szCs w:val="20"/>
        </w:rPr>
        <w:t xml:space="preserve"> </w:t>
      </w:r>
      <w:r w:rsidR="00AA3FB8" w:rsidRPr="00766D80">
        <w:rPr>
          <w:rStyle w:val="1cs5bdp"/>
          <w:rFonts w:ascii="Cambria" w:hAnsi="Cambria" w:cs="Segoe UI"/>
          <w:i/>
          <w:iCs/>
          <w:sz w:val="20"/>
          <w:szCs w:val="20"/>
        </w:rPr>
        <w:t>2024</w:t>
      </w:r>
      <w:r w:rsidR="00AA3FB8" w:rsidRPr="00766D80">
        <w:rPr>
          <w:rFonts w:ascii="Cambria" w:hAnsi="Cambria"/>
          <w:sz w:val="20"/>
          <w:szCs w:val="20"/>
        </w:rPr>
        <w:t xml:space="preserve"> </w:t>
      </w:r>
      <w:r w:rsidR="00AA3FB8" w:rsidRPr="00766D80">
        <w:rPr>
          <w:rStyle w:val="1cs5bdp"/>
          <w:rFonts w:ascii="Cambria" w:hAnsi="Cambria" w:cs="Segoe UI"/>
          <w:sz w:val="20"/>
          <w:szCs w:val="20"/>
        </w:rPr>
        <w:t>(SA)</w:t>
      </w:r>
      <w:r w:rsidR="00AA3FB8" w:rsidRPr="00766D80">
        <w:rPr>
          <w:rFonts w:ascii="Cambria" w:hAnsi="Cambria"/>
          <w:sz w:val="20"/>
          <w:szCs w:val="20"/>
        </w:rPr>
        <w:t>.</w:t>
      </w:r>
    </w:p>
  </w:footnote>
  <w:footnote w:id="15">
    <w:p w14:paraId="2029B09C" w14:textId="77777777" w:rsidR="008C2524" w:rsidRPr="00766D80" w:rsidRDefault="008C2524" w:rsidP="008C2524">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Australian Medical Association, LGBTQIA+ Health Position Statement; Australian Psychological Society, Use of Psychological Practices that attempt to change or suppress a person’s sexual orientation or gender: Position statement. </w:t>
      </w:r>
    </w:p>
  </w:footnote>
  <w:footnote w:id="16">
    <w:p w14:paraId="7A6901F9" w14:textId="1DB0E926" w:rsidR="008C2524" w:rsidRPr="00766D80" w:rsidRDefault="008C2524" w:rsidP="008C2524">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Equality Tasmania, ‘Concern Conversion Bill will allow practices to continue’, 13 December 2023. As found at </w:t>
      </w:r>
      <w:hyperlink r:id="rId5" w:history="1">
        <w:r w:rsidRPr="00766D80">
          <w:rPr>
            <w:rStyle w:val="Hyperlink"/>
            <w:rFonts w:ascii="Cambria" w:hAnsi="Cambria"/>
          </w:rPr>
          <w:t>https://equalitytasmania.org.au/concern-conversion-bill-will-allow-practices-to-continue/</w:t>
        </w:r>
      </w:hyperlink>
      <w:r w:rsidRPr="00766D80">
        <w:rPr>
          <w:rFonts w:ascii="Cambria" w:hAnsi="Cambria"/>
        </w:rPr>
        <w:t xml:space="preserve"> </w:t>
      </w:r>
      <w:r w:rsidR="00766D80" w:rsidRPr="00766D80">
        <w:rPr>
          <w:rFonts w:ascii="Cambria" w:hAnsi="Cambria"/>
        </w:rPr>
        <w:t>(accessed 7 August 2026)</w:t>
      </w:r>
      <w:r w:rsidRPr="00766D80">
        <w:rPr>
          <w:rFonts w:ascii="Cambria" w:hAnsi="Cambria"/>
        </w:rPr>
        <w:t xml:space="preserve">. </w:t>
      </w:r>
    </w:p>
  </w:footnote>
  <w:footnote w:id="17">
    <w:p w14:paraId="6736D4C6" w14:textId="77777777" w:rsidR="00AA3FB8" w:rsidRPr="00766D80" w:rsidRDefault="00AA3FB8" w:rsidP="00AA3FB8">
      <w:pPr>
        <w:pStyle w:val="NoSpacing"/>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w:t>
      </w:r>
      <w:r w:rsidRPr="00766D80">
        <w:rPr>
          <w:rStyle w:val="1cs5bdp"/>
          <w:rFonts w:ascii="Cambria" w:hAnsi="Cambria" w:cs="Segoe UI"/>
          <w:sz w:val="20"/>
          <w:szCs w:val="20"/>
        </w:rPr>
        <w:t>Victorian</w:t>
      </w:r>
      <w:r w:rsidRPr="00766D80">
        <w:rPr>
          <w:rFonts w:ascii="Cambria" w:hAnsi="Cambria"/>
          <w:sz w:val="20"/>
          <w:szCs w:val="20"/>
        </w:rPr>
        <w:t xml:space="preserve"> </w:t>
      </w:r>
      <w:r w:rsidRPr="00766D80">
        <w:rPr>
          <w:rStyle w:val="1cs5bdp"/>
          <w:rFonts w:ascii="Cambria" w:hAnsi="Cambria" w:cs="Segoe UI"/>
          <w:sz w:val="20"/>
          <w:szCs w:val="20"/>
        </w:rPr>
        <w:t>Equal</w:t>
      </w:r>
      <w:r w:rsidRPr="00766D80">
        <w:rPr>
          <w:rFonts w:ascii="Cambria" w:hAnsi="Cambria"/>
          <w:sz w:val="20"/>
          <w:szCs w:val="20"/>
        </w:rPr>
        <w:t xml:space="preserve"> </w:t>
      </w:r>
      <w:r w:rsidRPr="00766D80">
        <w:rPr>
          <w:rStyle w:val="1cs5bdp"/>
          <w:rFonts w:ascii="Cambria" w:hAnsi="Cambria" w:cs="Segoe UI"/>
          <w:sz w:val="20"/>
          <w:szCs w:val="20"/>
        </w:rPr>
        <w:t>Opportunity</w:t>
      </w:r>
      <w:r w:rsidRPr="00766D80">
        <w:rPr>
          <w:rFonts w:ascii="Cambria" w:hAnsi="Cambria"/>
          <w:sz w:val="20"/>
          <w:szCs w:val="20"/>
        </w:rPr>
        <w:t xml:space="preserve"> </w:t>
      </w:r>
      <w:r w:rsidRPr="00766D80">
        <w:rPr>
          <w:rStyle w:val="1cs5bdp"/>
          <w:rFonts w:ascii="Cambria" w:hAnsi="Cambria" w:cs="Segoe UI"/>
          <w:sz w:val="20"/>
          <w:szCs w:val="20"/>
        </w:rPr>
        <w:t>and</w:t>
      </w:r>
      <w:r w:rsidRPr="00766D80">
        <w:rPr>
          <w:rFonts w:ascii="Cambria" w:hAnsi="Cambria"/>
          <w:sz w:val="20"/>
          <w:szCs w:val="20"/>
        </w:rPr>
        <w:t xml:space="preserve"> </w:t>
      </w:r>
      <w:r w:rsidRPr="00766D80">
        <w:rPr>
          <w:rStyle w:val="1cs5bdp"/>
          <w:rFonts w:ascii="Cambria" w:hAnsi="Cambria" w:cs="Segoe UI"/>
          <w:sz w:val="20"/>
          <w:szCs w:val="20"/>
        </w:rPr>
        <w:t>Human</w:t>
      </w:r>
      <w:r w:rsidRPr="00766D80">
        <w:rPr>
          <w:rFonts w:ascii="Cambria" w:hAnsi="Cambria"/>
          <w:sz w:val="20"/>
          <w:szCs w:val="20"/>
        </w:rPr>
        <w:t xml:space="preserve"> </w:t>
      </w:r>
      <w:r w:rsidRPr="00766D80">
        <w:rPr>
          <w:rStyle w:val="1cs5bdp"/>
          <w:rFonts w:ascii="Cambria" w:hAnsi="Cambria" w:cs="Segoe UI"/>
          <w:sz w:val="20"/>
          <w:szCs w:val="20"/>
        </w:rPr>
        <w:t>Rights</w:t>
      </w:r>
      <w:r w:rsidRPr="00766D80">
        <w:rPr>
          <w:rFonts w:ascii="Cambria" w:hAnsi="Cambria"/>
          <w:sz w:val="20"/>
          <w:szCs w:val="20"/>
        </w:rPr>
        <w:t xml:space="preserve"> </w:t>
      </w:r>
      <w:r w:rsidRPr="00766D80">
        <w:rPr>
          <w:rStyle w:val="1cs5bdp"/>
          <w:rFonts w:ascii="Cambria" w:hAnsi="Cambria" w:cs="Segoe UI"/>
          <w:sz w:val="20"/>
          <w:szCs w:val="20"/>
        </w:rPr>
        <w:t>Commission,</w:t>
      </w:r>
      <w:r w:rsidRPr="00766D80">
        <w:rPr>
          <w:rFonts w:ascii="Cambria" w:hAnsi="Cambria"/>
          <w:sz w:val="20"/>
          <w:szCs w:val="20"/>
        </w:rPr>
        <w:t xml:space="preserve"> </w:t>
      </w:r>
      <w:r w:rsidRPr="00766D80">
        <w:rPr>
          <w:rStyle w:val="xxxjie0"/>
          <w:rFonts w:ascii="Cambria" w:hAnsi="Cambria" w:cs="Segoe UI"/>
          <w:i/>
          <w:iCs/>
          <w:sz w:val="20"/>
          <w:szCs w:val="20"/>
        </w:rPr>
        <w:t>Submission</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to</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the</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Review</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of</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the</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Change</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or</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Suppression</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Practices</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Prohibition</w:t>
      </w:r>
      <w:r w:rsidRPr="00766D80">
        <w:rPr>
          <w:rStyle w:val="Emphasis"/>
          <w:rFonts w:ascii="Cambria" w:hAnsi="Cambria" w:cs="Segoe UI"/>
          <w:sz w:val="20"/>
          <w:szCs w:val="20"/>
        </w:rPr>
        <w:t xml:space="preserve"> </w:t>
      </w:r>
      <w:r w:rsidRPr="00766D80">
        <w:rPr>
          <w:rStyle w:val="xxxjie0"/>
          <w:rFonts w:ascii="Cambria" w:hAnsi="Cambria" w:cs="Segoe UI"/>
          <w:i/>
          <w:iCs/>
          <w:sz w:val="20"/>
          <w:szCs w:val="20"/>
        </w:rPr>
        <w:t>Act</w:t>
      </w:r>
      <w:r w:rsidRPr="00766D80">
        <w:rPr>
          <w:rFonts w:ascii="Cambria" w:hAnsi="Cambria"/>
          <w:sz w:val="20"/>
          <w:szCs w:val="20"/>
        </w:rPr>
        <w:t xml:space="preserve"> </w:t>
      </w:r>
      <w:r w:rsidRPr="00766D80">
        <w:rPr>
          <w:rStyle w:val="1cs5bdp"/>
          <w:rFonts w:ascii="Cambria" w:hAnsi="Cambria" w:cs="Segoe UI"/>
          <w:sz w:val="20"/>
          <w:szCs w:val="20"/>
        </w:rPr>
        <w:t>(Submission</w:t>
      </w:r>
      <w:r w:rsidRPr="00766D80">
        <w:rPr>
          <w:rFonts w:ascii="Cambria" w:hAnsi="Cambria"/>
          <w:sz w:val="20"/>
          <w:szCs w:val="20"/>
        </w:rPr>
        <w:t xml:space="preserve"> </w:t>
      </w:r>
      <w:r w:rsidRPr="00766D80">
        <w:rPr>
          <w:rStyle w:val="1cs5bdp"/>
          <w:rFonts w:ascii="Cambria" w:hAnsi="Cambria" w:cs="Segoe UI"/>
          <w:sz w:val="20"/>
          <w:szCs w:val="20"/>
        </w:rPr>
        <w:t>to</w:t>
      </w:r>
      <w:r w:rsidRPr="00766D80">
        <w:rPr>
          <w:rFonts w:ascii="Cambria" w:hAnsi="Cambria"/>
          <w:sz w:val="20"/>
          <w:szCs w:val="20"/>
        </w:rPr>
        <w:t xml:space="preserve"> </w:t>
      </w:r>
      <w:r w:rsidRPr="00766D80">
        <w:rPr>
          <w:rStyle w:val="1cs5bdp"/>
          <w:rFonts w:ascii="Cambria" w:hAnsi="Cambria" w:cs="Segoe UI"/>
          <w:sz w:val="20"/>
          <w:szCs w:val="20"/>
        </w:rPr>
        <w:t>the</w:t>
      </w:r>
      <w:r w:rsidRPr="00766D80">
        <w:rPr>
          <w:rFonts w:ascii="Cambria" w:hAnsi="Cambria"/>
          <w:sz w:val="20"/>
          <w:szCs w:val="20"/>
        </w:rPr>
        <w:t xml:space="preserve"> </w:t>
      </w:r>
      <w:r w:rsidRPr="00766D80">
        <w:rPr>
          <w:rStyle w:val="1cs5bdp"/>
          <w:rFonts w:ascii="Cambria" w:hAnsi="Cambria" w:cs="Segoe UI"/>
          <w:sz w:val="20"/>
          <w:szCs w:val="20"/>
        </w:rPr>
        <w:t>Victorian</w:t>
      </w:r>
      <w:r w:rsidRPr="00766D80">
        <w:rPr>
          <w:rFonts w:ascii="Cambria" w:hAnsi="Cambria"/>
          <w:sz w:val="20"/>
          <w:szCs w:val="20"/>
        </w:rPr>
        <w:t xml:space="preserve"> </w:t>
      </w:r>
      <w:r w:rsidRPr="00766D80">
        <w:rPr>
          <w:rStyle w:val="1cs5bdp"/>
          <w:rFonts w:ascii="Cambria" w:hAnsi="Cambria" w:cs="Segoe UI"/>
          <w:sz w:val="20"/>
          <w:szCs w:val="20"/>
        </w:rPr>
        <w:t>Law</w:t>
      </w:r>
      <w:r w:rsidRPr="00766D80">
        <w:rPr>
          <w:rFonts w:ascii="Cambria" w:hAnsi="Cambria"/>
          <w:sz w:val="20"/>
          <w:szCs w:val="20"/>
        </w:rPr>
        <w:t xml:space="preserve"> </w:t>
      </w:r>
      <w:r w:rsidRPr="00766D80">
        <w:rPr>
          <w:rStyle w:val="xxxjie0"/>
          <w:rFonts w:ascii="Cambria" w:hAnsi="Cambria" w:cs="Segoe UI"/>
          <w:sz w:val="20"/>
          <w:szCs w:val="20"/>
        </w:rPr>
        <w:t>Reform</w:t>
      </w:r>
      <w:r w:rsidRPr="00766D80">
        <w:rPr>
          <w:rFonts w:ascii="Cambria" w:hAnsi="Cambria"/>
          <w:sz w:val="20"/>
          <w:szCs w:val="20"/>
        </w:rPr>
        <w:t xml:space="preserve"> </w:t>
      </w:r>
      <w:r w:rsidRPr="00766D80">
        <w:rPr>
          <w:rStyle w:val="xxxjie0"/>
          <w:rFonts w:ascii="Cambria" w:hAnsi="Cambria" w:cs="Segoe UI"/>
          <w:sz w:val="20"/>
          <w:szCs w:val="20"/>
        </w:rPr>
        <w:t>Commission,</w:t>
      </w:r>
      <w:r w:rsidRPr="00766D80">
        <w:rPr>
          <w:rFonts w:ascii="Cambria" w:hAnsi="Cambria"/>
          <w:sz w:val="20"/>
          <w:szCs w:val="20"/>
        </w:rPr>
        <w:t xml:space="preserve"> </w:t>
      </w:r>
      <w:r w:rsidRPr="00766D80">
        <w:rPr>
          <w:rStyle w:val="xxxjie0"/>
          <w:rFonts w:ascii="Cambria" w:hAnsi="Cambria" w:cs="Segoe UI"/>
          <w:sz w:val="20"/>
          <w:szCs w:val="20"/>
        </w:rPr>
        <w:t xml:space="preserve">2026), recommendation 1. </w:t>
      </w:r>
    </w:p>
  </w:footnote>
  <w:footnote w:id="18">
    <w:p w14:paraId="1080D5FA" w14:textId="595CEB36" w:rsidR="0096789F" w:rsidRPr="00766D80" w:rsidRDefault="0096789F">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27 of the Bill. </w:t>
      </w:r>
    </w:p>
  </w:footnote>
  <w:footnote w:id="19">
    <w:p w14:paraId="04A62514" w14:textId="3BFA8A5F" w:rsidR="0002671A" w:rsidRPr="00766D80" w:rsidRDefault="0002671A">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44(2) of Bill. </w:t>
      </w:r>
    </w:p>
  </w:footnote>
  <w:footnote w:id="20">
    <w:p w14:paraId="4F983955" w14:textId="5EC69A0F" w:rsidR="0002671A" w:rsidRPr="00766D80" w:rsidRDefault="0002671A">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46(2) of Bill. </w:t>
      </w:r>
    </w:p>
  </w:footnote>
  <w:footnote w:id="21">
    <w:p w14:paraId="2F647F30" w14:textId="77777777" w:rsidR="00255FAD" w:rsidRPr="00766D80" w:rsidRDefault="00255FAD" w:rsidP="00255FAD">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Section 89 of the </w:t>
      </w:r>
      <w:r w:rsidRPr="00766D80">
        <w:rPr>
          <w:rFonts w:ascii="Cambria" w:hAnsi="Cambria"/>
          <w:i/>
          <w:iCs/>
        </w:rPr>
        <w:t>Anti-Discrimination Act 1998</w:t>
      </w:r>
      <w:r w:rsidRPr="00766D80">
        <w:rPr>
          <w:rFonts w:ascii="Cambria" w:hAnsi="Cambria"/>
        </w:rPr>
        <w:t xml:space="preserve"> (Tas). </w:t>
      </w:r>
    </w:p>
  </w:footnote>
  <w:footnote w:id="22">
    <w:p w14:paraId="4F0815B1" w14:textId="6D67F29F" w:rsidR="00FD4050" w:rsidRPr="00766D80" w:rsidRDefault="00FD4050">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w:t>
      </w:r>
      <w:r w:rsidR="00255FAD" w:rsidRPr="00766D80">
        <w:rPr>
          <w:rStyle w:val="1cs5bdp"/>
          <w:rFonts w:ascii="Cambria" w:hAnsi="Cambria" w:cs="Segoe UI"/>
        </w:rPr>
        <w:t>Victorian</w:t>
      </w:r>
      <w:r w:rsidR="00255FAD" w:rsidRPr="00766D80">
        <w:rPr>
          <w:rFonts w:ascii="Cambria" w:hAnsi="Cambria"/>
        </w:rPr>
        <w:t xml:space="preserve"> </w:t>
      </w:r>
      <w:r w:rsidR="00255FAD" w:rsidRPr="00766D80">
        <w:rPr>
          <w:rStyle w:val="1cs5bdp"/>
          <w:rFonts w:ascii="Cambria" w:hAnsi="Cambria" w:cs="Segoe UI"/>
        </w:rPr>
        <w:t>Equal</w:t>
      </w:r>
      <w:r w:rsidR="00255FAD" w:rsidRPr="00766D80">
        <w:rPr>
          <w:rFonts w:ascii="Cambria" w:hAnsi="Cambria"/>
        </w:rPr>
        <w:t xml:space="preserve"> </w:t>
      </w:r>
      <w:r w:rsidR="00255FAD" w:rsidRPr="00766D80">
        <w:rPr>
          <w:rStyle w:val="1cs5bdp"/>
          <w:rFonts w:ascii="Cambria" w:hAnsi="Cambria" w:cs="Segoe UI"/>
        </w:rPr>
        <w:t>Opportunity</w:t>
      </w:r>
      <w:r w:rsidR="00255FAD" w:rsidRPr="00766D80">
        <w:rPr>
          <w:rFonts w:ascii="Cambria" w:hAnsi="Cambria"/>
        </w:rPr>
        <w:t xml:space="preserve"> </w:t>
      </w:r>
      <w:r w:rsidR="00255FAD" w:rsidRPr="00766D80">
        <w:rPr>
          <w:rStyle w:val="1cs5bdp"/>
          <w:rFonts w:ascii="Cambria" w:hAnsi="Cambria" w:cs="Segoe UI"/>
        </w:rPr>
        <w:t>and</w:t>
      </w:r>
      <w:r w:rsidR="00255FAD" w:rsidRPr="00766D80">
        <w:rPr>
          <w:rFonts w:ascii="Cambria" w:hAnsi="Cambria"/>
        </w:rPr>
        <w:t xml:space="preserve"> </w:t>
      </w:r>
      <w:r w:rsidR="00255FAD" w:rsidRPr="00766D80">
        <w:rPr>
          <w:rStyle w:val="1cs5bdp"/>
          <w:rFonts w:ascii="Cambria" w:hAnsi="Cambria" w:cs="Segoe UI"/>
        </w:rPr>
        <w:t>Human</w:t>
      </w:r>
      <w:r w:rsidR="00255FAD" w:rsidRPr="00766D80">
        <w:rPr>
          <w:rFonts w:ascii="Cambria" w:hAnsi="Cambria"/>
        </w:rPr>
        <w:t xml:space="preserve"> </w:t>
      </w:r>
      <w:r w:rsidR="00255FAD" w:rsidRPr="00766D80">
        <w:rPr>
          <w:rStyle w:val="1cs5bdp"/>
          <w:rFonts w:ascii="Cambria" w:hAnsi="Cambria" w:cs="Segoe UI"/>
        </w:rPr>
        <w:t>Rights</w:t>
      </w:r>
      <w:r w:rsidR="00255FAD" w:rsidRPr="00766D80">
        <w:rPr>
          <w:rFonts w:ascii="Cambria" w:hAnsi="Cambria"/>
        </w:rPr>
        <w:t xml:space="preserve"> </w:t>
      </w:r>
      <w:r w:rsidR="00255FAD" w:rsidRPr="00766D80">
        <w:rPr>
          <w:rStyle w:val="1cs5bdp"/>
          <w:rFonts w:ascii="Cambria" w:hAnsi="Cambria" w:cs="Segoe UI"/>
        </w:rPr>
        <w:t>Commission,</w:t>
      </w:r>
      <w:r w:rsidR="00255FAD" w:rsidRPr="00766D80">
        <w:rPr>
          <w:rFonts w:ascii="Cambria" w:hAnsi="Cambria"/>
        </w:rPr>
        <w:t xml:space="preserve"> </w:t>
      </w:r>
      <w:r w:rsidR="00255FAD" w:rsidRPr="00766D80">
        <w:rPr>
          <w:rStyle w:val="xxxjie0"/>
          <w:rFonts w:ascii="Cambria" w:hAnsi="Cambria" w:cs="Segoe UI"/>
          <w:i/>
          <w:iCs/>
        </w:rPr>
        <w:t>Submission</w:t>
      </w:r>
      <w:r w:rsidR="00255FAD" w:rsidRPr="00766D80">
        <w:rPr>
          <w:rStyle w:val="Emphasis"/>
          <w:rFonts w:ascii="Cambria" w:hAnsi="Cambria" w:cs="Segoe UI"/>
        </w:rPr>
        <w:t xml:space="preserve"> </w:t>
      </w:r>
      <w:r w:rsidR="00255FAD" w:rsidRPr="00766D80">
        <w:rPr>
          <w:rStyle w:val="xxxjie0"/>
          <w:rFonts w:ascii="Cambria" w:hAnsi="Cambria" w:cs="Segoe UI"/>
          <w:i/>
          <w:iCs/>
        </w:rPr>
        <w:t>to</w:t>
      </w:r>
      <w:r w:rsidR="00255FAD" w:rsidRPr="00766D80">
        <w:rPr>
          <w:rStyle w:val="Emphasis"/>
          <w:rFonts w:ascii="Cambria" w:hAnsi="Cambria" w:cs="Segoe UI"/>
        </w:rPr>
        <w:t xml:space="preserve"> </w:t>
      </w:r>
      <w:r w:rsidR="00255FAD" w:rsidRPr="00766D80">
        <w:rPr>
          <w:rStyle w:val="xxxjie0"/>
          <w:rFonts w:ascii="Cambria" w:hAnsi="Cambria" w:cs="Segoe UI"/>
          <w:i/>
          <w:iCs/>
        </w:rPr>
        <w:t>the</w:t>
      </w:r>
      <w:r w:rsidR="00255FAD" w:rsidRPr="00766D80">
        <w:rPr>
          <w:rStyle w:val="Emphasis"/>
          <w:rFonts w:ascii="Cambria" w:hAnsi="Cambria" w:cs="Segoe UI"/>
        </w:rPr>
        <w:t xml:space="preserve"> </w:t>
      </w:r>
      <w:r w:rsidR="00255FAD" w:rsidRPr="00766D80">
        <w:rPr>
          <w:rStyle w:val="xxxjie0"/>
          <w:rFonts w:ascii="Cambria" w:hAnsi="Cambria" w:cs="Segoe UI"/>
          <w:i/>
          <w:iCs/>
        </w:rPr>
        <w:t>Review</w:t>
      </w:r>
      <w:r w:rsidR="00255FAD" w:rsidRPr="00766D80">
        <w:rPr>
          <w:rStyle w:val="Emphasis"/>
          <w:rFonts w:ascii="Cambria" w:hAnsi="Cambria" w:cs="Segoe UI"/>
        </w:rPr>
        <w:t xml:space="preserve"> </w:t>
      </w:r>
      <w:r w:rsidR="00255FAD" w:rsidRPr="00766D80">
        <w:rPr>
          <w:rStyle w:val="xxxjie0"/>
          <w:rFonts w:ascii="Cambria" w:hAnsi="Cambria" w:cs="Segoe UI"/>
          <w:i/>
          <w:iCs/>
        </w:rPr>
        <w:t>of</w:t>
      </w:r>
      <w:r w:rsidR="00255FAD" w:rsidRPr="00766D80">
        <w:rPr>
          <w:rStyle w:val="Emphasis"/>
          <w:rFonts w:ascii="Cambria" w:hAnsi="Cambria" w:cs="Segoe UI"/>
        </w:rPr>
        <w:t xml:space="preserve"> </w:t>
      </w:r>
      <w:r w:rsidR="00255FAD" w:rsidRPr="00766D80">
        <w:rPr>
          <w:rStyle w:val="xxxjie0"/>
          <w:rFonts w:ascii="Cambria" w:hAnsi="Cambria" w:cs="Segoe UI"/>
          <w:i/>
          <w:iCs/>
        </w:rPr>
        <w:t>the</w:t>
      </w:r>
      <w:r w:rsidR="00255FAD" w:rsidRPr="00766D80">
        <w:rPr>
          <w:rStyle w:val="Emphasis"/>
          <w:rFonts w:ascii="Cambria" w:hAnsi="Cambria" w:cs="Segoe UI"/>
        </w:rPr>
        <w:t xml:space="preserve"> </w:t>
      </w:r>
      <w:r w:rsidR="00255FAD" w:rsidRPr="00766D80">
        <w:rPr>
          <w:rStyle w:val="xxxjie0"/>
          <w:rFonts w:ascii="Cambria" w:hAnsi="Cambria" w:cs="Segoe UI"/>
          <w:i/>
          <w:iCs/>
        </w:rPr>
        <w:t>Change</w:t>
      </w:r>
      <w:r w:rsidR="00255FAD" w:rsidRPr="00766D80">
        <w:rPr>
          <w:rStyle w:val="Emphasis"/>
          <w:rFonts w:ascii="Cambria" w:hAnsi="Cambria" w:cs="Segoe UI"/>
        </w:rPr>
        <w:t xml:space="preserve"> </w:t>
      </w:r>
      <w:r w:rsidR="00255FAD" w:rsidRPr="00766D80">
        <w:rPr>
          <w:rStyle w:val="xxxjie0"/>
          <w:rFonts w:ascii="Cambria" w:hAnsi="Cambria" w:cs="Segoe UI"/>
          <w:i/>
          <w:iCs/>
        </w:rPr>
        <w:t>or</w:t>
      </w:r>
      <w:r w:rsidR="00255FAD" w:rsidRPr="00766D80">
        <w:rPr>
          <w:rStyle w:val="Emphasis"/>
          <w:rFonts w:ascii="Cambria" w:hAnsi="Cambria" w:cs="Segoe UI"/>
        </w:rPr>
        <w:t xml:space="preserve"> </w:t>
      </w:r>
      <w:r w:rsidR="00255FAD" w:rsidRPr="00766D80">
        <w:rPr>
          <w:rStyle w:val="xxxjie0"/>
          <w:rFonts w:ascii="Cambria" w:hAnsi="Cambria" w:cs="Segoe UI"/>
          <w:i/>
          <w:iCs/>
        </w:rPr>
        <w:t>Suppression</w:t>
      </w:r>
      <w:r w:rsidR="00255FAD" w:rsidRPr="00766D80">
        <w:rPr>
          <w:rStyle w:val="Emphasis"/>
          <w:rFonts w:ascii="Cambria" w:hAnsi="Cambria" w:cs="Segoe UI"/>
        </w:rPr>
        <w:t xml:space="preserve"> </w:t>
      </w:r>
      <w:r w:rsidR="00255FAD" w:rsidRPr="00766D80">
        <w:rPr>
          <w:rStyle w:val="xxxjie0"/>
          <w:rFonts w:ascii="Cambria" w:hAnsi="Cambria" w:cs="Segoe UI"/>
          <w:i/>
          <w:iCs/>
        </w:rPr>
        <w:t>Practices</w:t>
      </w:r>
      <w:r w:rsidR="00255FAD" w:rsidRPr="00766D80">
        <w:rPr>
          <w:rStyle w:val="Emphasis"/>
          <w:rFonts w:ascii="Cambria" w:hAnsi="Cambria" w:cs="Segoe UI"/>
        </w:rPr>
        <w:t xml:space="preserve"> </w:t>
      </w:r>
      <w:r w:rsidR="00255FAD" w:rsidRPr="00766D80">
        <w:rPr>
          <w:rStyle w:val="xxxjie0"/>
          <w:rFonts w:ascii="Cambria" w:hAnsi="Cambria" w:cs="Segoe UI"/>
          <w:i/>
          <w:iCs/>
        </w:rPr>
        <w:t>Prohibition</w:t>
      </w:r>
      <w:r w:rsidR="00255FAD" w:rsidRPr="00766D80">
        <w:rPr>
          <w:rStyle w:val="Emphasis"/>
          <w:rFonts w:ascii="Cambria" w:hAnsi="Cambria" w:cs="Segoe UI"/>
        </w:rPr>
        <w:t xml:space="preserve"> </w:t>
      </w:r>
      <w:r w:rsidR="00255FAD" w:rsidRPr="00766D80">
        <w:rPr>
          <w:rStyle w:val="xxxjie0"/>
          <w:rFonts w:ascii="Cambria" w:hAnsi="Cambria" w:cs="Segoe UI"/>
          <w:i/>
          <w:iCs/>
        </w:rPr>
        <w:t>Act</w:t>
      </w:r>
      <w:r w:rsidR="00255FAD" w:rsidRPr="00766D80">
        <w:rPr>
          <w:rFonts w:ascii="Cambria" w:hAnsi="Cambria"/>
        </w:rPr>
        <w:t xml:space="preserve"> </w:t>
      </w:r>
      <w:r w:rsidR="00255FAD" w:rsidRPr="00766D80">
        <w:rPr>
          <w:rStyle w:val="1cs5bdp"/>
          <w:rFonts w:ascii="Cambria" w:hAnsi="Cambria" w:cs="Segoe UI"/>
        </w:rPr>
        <w:t>(Submission</w:t>
      </w:r>
      <w:r w:rsidR="00255FAD" w:rsidRPr="00766D80">
        <w:rPr>
          <w:rFonts w:ascii="Cambria" w:hAnsi="Cambria"/>
        </w:rPr>
        <w:t xml:space="preserve"> </w:t>
      </w:r>
      <w:r w:rsidR="00255FAD" w:rsidRPr="00766D80">
        <w:rPr>
          <w:rStyle w:val="1cs5bdp"/>
          <w:rFonts w:ascii="Cambria" w:hAnsi="Cambria" w:cs="Segoe UI"/>
        </w:rPr>
        <w:t>to</w:t>
      </w:r>
      <w:r w:rsidR="00255FAD" w:rsidRPr="00766D80">
        <w:rPr>
          <w:rFonts w:ascii="Cambria" w:hAnsi="Cambria"/>
        </w:rPr>
        <w:t xml:space="preserve"> </w:t>
      </w:r>
      <w:r w:rsidR="00255FAD" w:rsidRPr="00766D80">
        <w:rPr>
          <w:rStyle w:val="1cs5bdp"/>
          <w:rFonts w:ascii="Cambria" w:hAnsi="Cambria" w:cs="Segoe UI"/>
        </w:rPr>
        <w:t>the</w:t>
      </w:r>
      <w:r w:rsidR="00255FAD" w:rsidRPr="00766D80">
        <w:rPr>
          <w:rFonts w:ascii="Cambria" w:hAnsi="Cambria"/>
        </w:rPr>
        <w:t xml:space="preserve"> </w:t>
      </w:r>
      <w:r w:rsidR="00255FAD" w:rsidRPr="00766D80">
        <w:rPr>
          <w:rStyle w:val="1cs5bdp"/>
          <w:rFonts w:ascii="Cambria" w:hAnsi="Cambria" w:cs="Segoe UI"/>
        </w:rPr>
        <w:t>Victorian</w:t>
      </w:r>
      <w:r w:rsidR="00255FAD" w:rsidRPr="00766D80">
        <w:rPr>
          <w:rFonts w:ascii="Cambria" w:hAnsi="Cambria"/>
        </w:rPr>
        <w:t xml:space="preserve"> </w:t>
      </w:r>
      <w:r w:rsidR="00255FAD" w:rsidRPr="00766D80">
        <w:rPr>
          <w:rStyle w:val="1cs5bdp"/>
          <w:rFonts w:ascii="Cambria" w:hAnsi="Cambria" w:cs="Segoe UI"/>
        </w:rPr>
        <w:t>Law</w:t>
      </w:r>
      <w:r w:rsidR="00255FAD" w:rsidRPr="00766D80">
        <w:rPr>
          <w:rFonts w:ascii="Cambria" w:hAnsi="Cambria"/>
        </w:rPr>
        <w:t xml:space="preserve"> </w:t>
      </w:r>
      <w:r w:rsidR="00255FAD" w:rsidRPr="00766D80">
        <w:rPr>
          <w:rStyle w:val="xxxjie0"/>
          <w:rFonts w:ascii="Cambria" w:hAnsi="Cambria" w:cs="Segoe UI"/>
        </w:rPr>
        <w:t>Reform</w:t>
      </w:r>
      <w:r w:rsidR="00255FAD" w:rsidRPr="00766D80">
        <w:rPr>
          <w:rFonts w:ascii="Cambria" w:hAnsi="Cambria"/>
        </w:rPr>
        <w:t xml:space="preserve"> </w:t>
      </w:r>
      <w:r w:rsidR="00255FAD" w:rsidRPr="00766D80">
        <w:rPr>
          <w:rStyle w:val="xxxjie0"/>
          <w:rFonts w:ascii="Cambria" w:hAnsi="Cambria" w:cs="Segoe UI"/>
        </w:rPr>
        <w:t>Commission,</w:t>
      </w:r>
      <w:r w:rsidR="00255FAD" w:rsidRPr="00766D80">
        <w:rPr>
          <w:rFonts w:ascii="Cambria" w:hAnsi="Cambria"/>
        </w:rPr>
        <w:t xml:space="preserve"> </w:t>
      </w:r>
      <w:r w:rsidR="00255FAD" w:rsidRPr="00766D80">
        <w:rPr>
          <w:rStyle w:val="xxxjie0"/>
          <w:rFonts w:ascii="Cambria" w:hAnsi="Cambria" w:cs="Segoe UI"/>
        </w:rPr>
        <w:t>2026), recommendation 8.</w:t>
      </w:r>
    </w:p>
  </w:footnote>
  <w:footnote w:id="23">
    <w:p w14:paraId="7D9EB565" w14:textId="7B06A7D3" w:rsidR="005C5A7C" w:rsidRPr="00766D80" w:rsidRDefault="005C5A7C" w:rsidP="002A0661">
      <w:pPr>
        <w:pStyle w:val="NoSpacing"/>
        <w:rPr>
          <w:rFonts w:ascii="Cambria" w:hAnsi="Cambria"/>
          <w:sz w:val="20"/>
          <w:szCs w:val="20"/>
        </w:rPr>
      </w:pPr>
      <w:r w:rsidRPr="00766D80">
        <w:rPr>
          <w:rStyle w:val="FootnoteReference"/>
          <w:rFonts w:ascii="Cambria" w:hAnsi="Cambria"/>
          <w:sz w:val="20"/>
          <w:szCs w:val="20"/>
        </w:rPr>
        <w:footnoteRef/>
      </w:r>
      <w:r w:rsidRPr="00766D80">
        <w:rPr>
          <w:rFonts w:ascii="Cambria" w:hAnsi="Cambria"/>
          <w:sz w:val="20"/>
          <w:szCs w:val="20"/>
        </w:rPr>
        <w:t xml:space="preserve"> </w:t>
      </w:r>
      <w:r w:rsidR="002A0661" w:rsidRPr="00766D80">
        <w:rPr>
          <w:rStyle w:val="1cs5bdp"/>
          <w:rFonts w:ascii="Cambria" w:hAnsi="Cambria" w:cs="Segoe UI"/>
          <w:sz w:val="20"/>
          <w:szCs w:val="20"/>
        </w:rPr>
        <w:t>Adam</w:t>
      </w:r>
      <w:r w:rsidR="002A0661" w:rsidRPr="00766D80">
        <w:rPr>
          <w:rFonts w:ascii="Cambria" w:hAnsi="Cambria"/>
          <w:sz w:val="20"/>
          <w:szCs w:val="20"/>
        </w:rPr>
        <w:t xml:space="preserve"> </w:t>
      </w:r>
      <w:r w:rsidR="002A0661" w:rsidRPr="00766D80">
        <w:rPr>
          <w:rStyle w:val="1cs5bdp"/>
          <w:rFonts w:ascii="Cambria" w:hAnsi="Cambria" w:cs="Segoe UI"/>
          <w:sz w:val="20"/>
          <w:szCs w:val="20"/>
        </w:rPr>
        <w:t>Holmes,</w:t>
      </w:r>
      <w:r w:rsidR="002A0661" w:rsidRPr="00766D80">
        <w:rPr>
          <w:rFonts w:ascii="Cambria" w:hAnsi="Cambria"/>
          <w:sz w:val="20"/>
          <w:szCs w:val="20"/>
        </w:rPr>
        <w:t xml:space="preserve"> </w:t>
      </w:r>
      <w:r w:rsidR="002A0661" w:rsidRPr="00766D80">
        <w:rPr>
          <w:rStyle w:val="1cs5bdp"/>
          <w:rFonts w:ascii="Cambria" w:hAnsi="Cambria" w:cs="Segoe UI"/>
          <w:sz w:val="20"/>
          <w:szCs w:val="20"/>
        </w:rPr>
        <w:t>‘Tasmania</w:t>
      </w:r>
      <w:r w:rsidR="002A0661" w:rsidRPr="00766D80">
        <w:rPr>
          <w:rFonts w:ascii="Cambria" w:hAnsi="Cambria"/>
          <w:sz w:val="20"/>
          <w:szCs w:val="20"/>
        </w:rPr>
        <w:t xml:space="preserve"> </w:t>
      </w:r>
      <w:r w:rsidR="002A0661" w:rsidRPr="00766D80">
        <w:rPr>
          <w:rStyle w:val="1cs5bdp"/>
          <w:rFonts w:ascii="Cambria" w:hAnsi="Cambria" w:cs="Segoe UI"/>
          <w:sz w:val="20"/>
          <w:szCs w:val="20"/>
        </w:rPr>
        <w:t>Is</w:t>
      </w:r>
      <w:r w:rsidR="002A0661" w:rsidRPr="00766D80">
        <w:rPr>
          <w:rFonts w:ascii="Cambria" w:hAnsi="Cambria"/>
          <w:sz w:val="20"/>
          <w:szCs w:val="20"/>
        </w:rPr>
        <w:t xml:space="preserve"> </w:t>
      </w:r>
      <w:r w:rsidR="002A0661" w:rsidRPr="00766D80">
        <w:rPr>
          <w:rStyle w:val="1cs5bdp"/>
          <w:rFonts w:ascii="Cambria" w:hAnsi="Cambria" w:cs="Segoe UI"/>
          <w:sz w:val="20"/>
          <w:szCs w:val="20"/>
        </w:rPr>
        <w:t>the</w:t>
      </w:r>
      <w:r w:rsidR="002A0661" w:rsidRPr="00766D80">
        <w:rPr>
          <w:rFonts w:ascii="Cambria" w:hAnsi="Cambria"/>
          <w:sz w:val="20"/>
          <w:szCs w:val="20"/>
        </w:rPr>
        <w:t xml:space="preserve"> </w:t>
      </w:r>
      <w:r w:rsidR="002A0661" w:rsidRPr="00766D80">
        <w:rPr>
          <w:rStyle w:val="1cs5bdp"/>
          <w:rFonts w:ascii="Cambria" w:hAnsi="Cambria" w:cs="Segoe UI"/>
          <w:sz w:val="20"/>
          <w:szCs w:val="20"/>
        </w:rPr>
        <w:t>First</w:t>
      </w:r>
      <w:r w:rsidR="002A0661" w:rsidRPr="00766D80">
        <w:rPr>
          <w:rFonts w:ascii="Cambria" w:hAnsi="Cambria"/>
          <w:sz w:val="20"/>
          <w:szCs w:val="20"/>
        </w:rPr>
        <w:t xml:space="preserve"> </w:t>
      </w:r>
      <w:r w:rsidR="002A0661" w:rsidRPr="00766D80">
        <w:rPr>
          <w:rStyle w:val="1cs5bdp"/>
          <w:rFonts w:ascii="Cambria" w:hAnsi="Cambria" w:cs="Segoe UI"/>
          <w:sz w:val="20"/>
          <w:szCs w:val="20"/>
        </w:rPr>
        <w:t>State</w:t>
      </w:r>
      <w:r w:rsidR="002A0661" w:rsidRPr="00766D80">
        <w:rPr>
          <w:rFonts w:ascii="Cambria" w:hAnsi="Cambria"/>
          <w:sz w:val="20"/>
          <w:szCs w:val="20"/>
        </w:rPr>
        <w:t xml:space="preserve"> </w:t>
      </w:r>
      <w:r w:rsidR="002A0661" w:rsidRPr="00766D80">
        <w:rPr>
          <w:rStyle w:val="1cs5bdp"/>
          <w:rFonts w:ascii="Cambria" w:hAnsi="Cambria" w:cs="Segoe UI"/>
          <w:sz w:val="20"/>
          <w:szCs w:val="20"/>
        </w:rPr>
        <w:t>to</w:t>
      </w:r>
      <w:r w:rsidR="002A0661" w:rsidRPr="00766D80">
        <w:rPr>
          <w:rFonts w:ascii="Cambria" w:hAnsi="Cambria"/>
          <w:sz w:val="20"/>
          <w:szCs w:val="20"/>
        </w:rPr>
        <w:t xml:space="preserve"> </w:t>
      </w:r>
      <w:r w:rsidR="002A0661" w:rsidRPr="00766D80">
        <w:rPr>
          <w:rStyle w:val="1cs5bdp"/>
          <w:rFonts w:ascii="Cambria" w:hAnsi="Cambria" w:cs="Segoe UI"/>
          <w:sz w:val="20"/>
          <w:szCs w:val="20"/>
        </w:rPr>
        <w:t>Officially</w:t>
      </w:r>
      <w:r w:rsidR="002A0661" w:rsidRPr="00766D80">
        <w:rPr>
          <w:rFonts w:ascii="Cambria" w:hAnsi="Cambria"/>
          <w:sz w:val="20"/>
          <w:szCs w:val="20"/>
        </w:rPr>
        <w:t xml:space="preserve"> </w:t>
      </w:r>
      <w:r w:rsidR="002A0661" w:rsidRPr="00766D80">
        <w:rPr>
          <w:rStyle w:val="1cs5bdp"/>
          <w:rFonts w:ascii="Cambria" w:hAnsi="Cambria" w:cs="Segoe UI"/>
          <w:sz w:val="20"/>
          <w:szCs w:val="20"/>
        </w:rPr>
        <w:t>Recognise</w:t>
      </w:r>
      <w:r w:rsidR="002A0661" w:rsidRPr="00766D80">
        <w:rPr>
          <w:rFonts w:ascii="Cambria" w:hAnsi="Cambria"/>
          <w:sz w:val="20"/>
          <w:szCs w:val="20"/>
        </w:rPr>
        <w:t xml:space="preserve"> </w:t>
      </w:r>
      <w:r w:rsidR="002A0661" w:rsidRPr="00766D80">
        <w:rPr>
          <w:rStyle w:val="1cs5bdp"/>
          <w:rFonts w:ascii="Cambria" w:hAnsi="Cambria" w:cs="Segoe UI"/>
          <w:sz w:val="20"/>
          <w:szCs w:val="20"/>
        </w:rPr>
        <w:t>Those</w:t>
      </w:r>
      <w:r w:rsidR="002A0661" w:rsidRPr="00766D80">
        <w:rPr>
          <w:rFonts w:ascii="Cambria" w:hAnsi="Cambria"/>
          <w:sz w:val="20"/>
          <w:szCs w:val="20"/>
        </w:rPr>
        <w:t xml:space="preserve"> </w:t>
      </w:r>
      <w:r w:rsidR="002A0661" w:rsidRPr="00766D80">
        <w:rPr>
          <w:rStyle w:val="1cs5bdp"/>
          <w:rFonts w:ascii="Cambria" w:hAnsi="Cambria" w:cs="Segoe UI"/>
          <w:sz w:val="20"/>
          <w:szCs w:val="20"/>
        </w:rPr>
        <w:t>Who</w:t>
      </w:r>
      <w:r w:rsidR="002A0661" w:rsidRPr="00766D80">
        <w:rPr>
          <w:rFonts w:ascii="Cambria" w:hAnsi="Cambria"/>
          <w:sz w:val="20"/>
          <w:szCs w:val="20"/>
        </w:rPr>
        <w:t xml:space="preserve"> </w:t>
      </w:r>
      <w:r w:rsidR="002A0661" w:rsidRPr="00766D80">
        <w:rPr>
          <w:rStyle w:val="1cs5bdp"/>
          <w:rFonts w:ascii="Cambria" w:hAnsi="Cambria" w:cs="Segoe UI"/>
          <w:sz w:val="20"/>
          <w:szCs w:val="20"/>
        </w:rPr>
        <w:t>Identify</w:t>
      </w:r>
      <w:r w:rsidR="002A0661" w:rsidRPr="00766D80">
        <w:rPr>
          <w:rFonts w:ascii="Cambria" w:hAnsi="Cambria"/>
          <w:sz w:val="20"/>
          <w:szCs w:val="20"/>
        </w:rPr>
        <w:t xml:space="preserve"> </w:t>
      </w:r>
      <w:r w:rsidR="002A0661" w:rsidRPr="00766D80">
        <w:rPr>
          <w:rStyle w:val="1cs5bdp"/>
          <w:rFonts w:ascii="Cambria" w:hAnsi="Cambria" w:cs="Segoe UI"/>
          <w:sz w:val="20"/>
          <w:szCs w:val="20"/>
        </w:rPr>
        <w:t>as</w:t>
      </w:r>
      <w:r w:rsidR="002A0661" w:rsidRPr="00766D80">
        <w:rPr>
          <w:rFonts w:ascii="Cambria" w:hAnsi="Cambria"/>
          <w:sz w:val="20"/>
          <w:szCs w:val="20"/>
        </w:rPr>
        <w:t xml:space="preserve"> </w:t>
      </w:r>
      <w:r w:rsidR="002A0661" w:rsidRPr="00766D80">
        <w:rPr>
          <w:rStyle w:val="1cs5bdp"/>
          <w:rFonts w:ascii="Cambria" w:hAnsi="Cambria" w:cs="Segoe UI"/>
          <w:sz w:val="20"/>
          <w:szCs w:val="20"/>
        </w:rPr>
        <w:t>Asexual,</w:t>
      </w:r>
      <w:r w:rsidR="002A0661" w:rsidRPr="00766D80">
        <w:rPr>
          <w:rFonts w:ascii="Cambria" w:hAnsi="Cambria"/>
          <w:sz w:val="20"/>
          <w:szCs w:val="20"/>
        </w:rPr>
        <w:t xml:space="preserve"> </w:t>
      </w:r>
      <w:r w:rsidR="002A0661" w:rsidRPr="00766D80">
        <w:rPr>
          <w:rStyle w:val="1cs5bdp"/>
          <w:rFonts w:ascii="Cambria" w:hAnsi="Cambria" w:cs="Segoe UI"/>
          <w:sz w:val="20"/>
          <w:szCs w:val="20"/>
        </w:rPr>
        <w:t>Adding</w:t>
      </w:r>
      <w:r w:rsidR="002A0661" w:rsidRPr="00766D80">
        <w:rPr>
          <w:rFonts w:ascii="Cambria" w:hAnsi="Cambria"/>
          <w:sz w:val="20"/>
          <w:szCs w:val="20"/>
        </w:rPr>
        <w:t xml:space="preserve"> </w:t>
      </w:r>
      <w:r w:rsidR="002A0661" w:rsidRPr="00766D80">
        <w:rPr>
          <w:rStyle w:val="1cs5bdp"/>
          <w:rFonts w:ascii="Cambria" w:hAnsi="Cambria" w:cs="Segoe UI"/>
          <w:sz w:val="20"/>
          <w:szCs w:val="20"/>
        </w:rPr>
        <w:t>the</w:t>
      </w:r>
      <w:r w:rsidR="002A0661" w:rsidRPr="00766D80">
        <w:rPr>
          <w:rFonts w:ascii="Cambria" w:hAnsi="Cambria"/>
          <w:sz w:val="20"/>
          <w:szCs w:val="20"/>
        </w:rPr>
        <w:t xml:space="preserve"> </w:t>
      </w:r>
      <w:r w:rsidR="002A0661" w:rsidRPr="00766D80">
        <w:rPr>
          <w:rStyle w:val="1cs5bdp"/>
          <w:rFonts w:ascii="Cambria" w:hAnsi="Cambria" w:cs="Segoe UI"/>
          <w:sz w:val="20"/>
          <w:szCs w:val="20"/>
        </w:rPr>
        <w:t>A</w:t>
      </w:r>
      <w:r w:rsidR="002A0661" w:rsidRPr="00766D80">
        <w:rPr>
          <w:rFonts w:ascii="Cambria" w:hAnsi="Cambria"/>
          <w:sz w:val="20"/>
          <w:szCs w:val="20"/>
        </w:rPr>
        <w:t xml:space="preserve"> </w:t>
      </w:r>
      <w:r w:rsidR="002A0661" w:rsidRPr="00766D80">
        <w:rPr>
          <w:rStyle w:val="1cs5bdp"/>
          <w:rFonts w:ascii="Cambria" w:hAnsi="Cambria" w:cs="Segoe UI"/>
          <w:sz w:val="20"/>
          <w:szCs w:val="20"/>
        </w:rPr>
        <w:t>to</w:t>
      </w:r>
      <w:r w:rsidR="002A0661" w:rsidRPr="00766D80">
        <w:rPr>
          <w:rFonts w:ascii="Cambria" w:hAnsi="Cambria"/>
          <w:sz w:val="20"/>
          <w:szCs w:val="20"/>
        </w:rPr>
        <w:t xml:space="preserve"> </w:t>
      </w:r>
      <w:r w:rsidR="002A0661" w:rsidRPr="00766D80">
        <w:rPr>
          <w:rStyle w:val="1cs5bdp"/>
          <w:rFonts w:ascii="Cambria" w:hAnsi="Cambria" w:cs="Segoe UI"/>
          <w:sz w:val="20"/>
          <w:szCs w:val="20"/>
        </w:rPr>
        <w:t>LGBTIQ+’</w:t>
      </w:r>
      <w:r w:rsidR="002A0661" w:rsidRPr="00766D80">
        <w:rPr>
          <w:rFonts w:ascii="Cambria" w:hAnsi="Cambria"/>
          <w:sz w:val="20"/>
          <w:szCs w:val="20"/>
        </w:rPr>
        <w:t xml:space="preserve"> </w:t>
      </w:r>
      <w:r w:rsidR="002A0661" w:rsidRPr="00766D80">
        <w:rPr>
          <w:rStyle w:val="1cs5bdp"/>
          <w:rFonts w:ascii="Cambria" w:hAnsi="Cambria" w:cs="Segoe UI"/>
          <w:sz w:val="20"/>
          <w:szCs w:val="20"/>
        </w:rPr>
        <w:t>(online,</w:t>
      </w:r>
      <w:r w:rsidR="002A0661" w:rsidRPr="00766D80">
        <w:rPr>
          <w:rFonts w:ascii="Cambria" w:hAnsi="Cambria"/>
          <w:sz w:val="20"/>
          <w:szCs w:val="20"/>
        </w:rPr>
        <w:t xml:space="preserve"> </w:t>
      </w:r>
      <w:r w:rsidR="002A0661" w:rsidRPr="00766D80">
        <w:rPr>
          <w:rStyle w:val="xxxjie0"/>
          <w:rFonts w:ascii="Cambria" w:hAnsi="Cambria" w:cs="Segoe UI"/>
          <w:sz w:val="20"/>
          <w:szCs w:val="20"/>
        </w:rPr>
        <w:t>17</w:t>
      </w:r>
      <w:r w:rsidR="002A0661" w:rsidRPr="00766D80">
        <w:rPr>
          <w:rFonts w:ascii="Cambria" w:hAnsi="Cambria"/>
          <w:sz w:val="20"/>
          <w:szCs w:val="20"/>
        </w:rPr>
        <w:t xml:space="preserve"> </w:t>
      </w:r>
      <w:r w:rsidR="002A0661" w:rsidRPr="00766D80">
        <w:rPr>
          <w:rStyle w:val="xxxjie0"/>
          <w:rFonts w:ascii="Cambria" w:hAnsi="Cambria" w:cs="Segoe UI"/>
          <w:sz w:val="20"/>
          <w:szCs w:val="20"/>
        </w:rPr>
        <w:t>July</w:t>
      </w:r>
      <w:r w:rsidR="002A0661" w:rsidRPr="00766D80">
        <w:rPr>
          <w:rFonts w:ascii="Cambria" w:hAnsi="Cambria"/>
          <w:sz w:val="20"/>
          <w:szCs w:val="20"/>
        </w:rPr>
        <w:t xml:space="preserve"> </w:t>
      </w:r>
      <w:r w:rsidR="002A0661" w:rsidRPr="00766D80">
        <w:rPr>
          <w:rStyle w:val="xxxjie0"/>
          <w:rFonts w:ascii="Cambria" w:hAnsi="Cambria" w:cs="Segoe UI"/>
          <w:sz w:val="20"/>
          <w:szCs w:val="20"/>
        </w:rPr>
        <w:t>2023)</w:t>
      </w:r>
      <w:r w:rsidR="002A0661" w:rsidRPr="00766D80">
        <w:rPr>
          <w:rFonts w:ascii="Cambria" w:hAnsi="Cambria"/>
          <w:sz w:val="20"/>
          <w:szCs w:val="20"/>
        </w:rPr>
        <w:t xml:space="preserve"> </w:t>
      </w:r>
      <w:r w:rsidR="002A0661" w:rsidRPr="00766D80">
        <w:rPr>
          <w:rStyle w:val="xxxjie0"/>
          <w:rFonts w:ascii="Cambria" w:hAnsi="Cambria" w:cs="Segoe UI"/>
          <w:i/>
          <w:iCs/>
          <w:sz w:val="20"/>
          <w:szCs w:val="20"/>
        </w:rPr>
        <w:t>ABC</w:t>
      </w:r>
      <w:r w:rsidR="002A0661" w:rsidRPr="00766D80">
        <w:rPr>
          <w:rStyle w:val="Emphasis"/>
          <w:rFonts w:ascii="Cambria" w:hAnsi="Cambria" w:cs="Segoe UI"/>
          <w:sz w:val="20"/>
          <w:szCs w:val="20"/>
        </w:rPr>
        <w:t xml:space="preserve"> </w:t>
      </w:r>
      <w:r w:rsidR="002A0661" w:rsidRPr="00766D80">
        <w:rPr>
          <w:rStyle w:val="xxxjie0"/>
          <w:rFonts w:ascii="Cambria" w:hAnsi="Cambria" w:cs="Segoe UI"/>
          <w:i/>
          <w:iCs/>
          <w:sz w:val="20"/>
          <w:szCs w:val="20"/>
        </w:rPr>
        <w:t>News</w:t>
      </w:r>
      <w:r w:rsidR="002A0661" w:rsidRPr="00766D80">
        <w:rPr>
          <w:rFonts w:ascii="Cambria" w:hAnsi="Cambria"/>
          <w:sz w:val="20"/>
          <w:szCs w:val="20"/>
        </w:rPr>
        <w:t xml:space="preserve"> </w:t>
      </w:r>
      <w:hyperlink r:id="rId6" w:history="1">
        <w:r w:rsidR="002A0661" w:rsidRPr="00766D80">
          <w:rPr>
            <w:rStyle w:val="Hyperlink"/>
            <w:rFonts w:ascii="Cambria" w:hAnsi="Cambria" w:cs="Segoe UI"/>
            <w:sz w:val="20"/>
            <w:szCs w:val="20"/>
          </w:rPr>
          <w:t>https://www.abc.net.au/news/2023-07-17/asexual-people-officially-recognised-by-tasmanian-government/102605830</w:t>
        </w:r>
      </w:hyperlink>
    </w:p>
  </w:footnote>
  <w:footnote w:id="24">
    <w:p w14:paraId="42728432" w14:textId="58F13F4F" w:rsidR="00F93DA5" w:rsidRPr="00766D80" w:rsidRDefault="00F93DA5">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5(1)(b) of the Bill.</w:t>
      </w:r>
    </w:p>
  </w:footnote>
  <w:footnote w:id="25">
    <w:p w14:paraId="6056A0E5" w14:textId="7134E037" w:rsidR="00624C9A" w:rsidRPr="00766D80" w:rsidRDefault="00624C9A">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w:t>
      </w:r>
      <w:r w:rsidRPr="00766D80">
        <w:rPr>
          <w:rStyle w:val="1cs5bdp"/>
          <w:rFonts w:ascii="Cambria" w:hAnsi="Cambria" w:cs="Segoe UI"/>
        </w:rPr>
        <w:t>Victorian</w:t>
      </w:r>
      <w:r w:rsidRPr="00766D80">
        <w:rPr>
          <w:rFonts w:ascii="Cambria" w:hAnsi="Cambria"/>
        </w:rPr>
        <w:t xml:space="preserve"> </w:t>
      </w:r>
      <w:r w:rsidRPr="00766D80">
        <w:rPr>
          <w:rStyle w:val="1cs5bdp"/>
          <w:rFonts w:ascii="Cambria" w:hAnsi="Cambria" w:cs="Segoe UI"/>
        </w:rPr>
        <w:t>Equal</w:t>
      </w:r>
      <w:r w:rsidRPr="00766D80">
        <w:rPr>
          <w:rFonts w:ascii="Cambria" w:hAnsi="Cambria"/>
        </w:rPr>
        <w:t xml:space="preserve"> </w:t>
      </w:r>
      <w:r w:rsidRPr="00766D80">
        <w:rPr>
          <w:rStyle w:val="1cs5bdp"/>
          <w:rFonts w:ascii="Cambria" w:hAnsi="Cambria" w:cs="Segoe UI"/>
        </w:rPr>
        <w:t>Opportunity</w:t>
      </w:r>
      <w:r w:rsidRPr="00766D80">
        <w:rPr>
          <w:rFonts w:ascii="Cambria" w:hAnsi="Cambria"/>
        </w:rPr>
        <w:t xml:space="preserve"> </w:t>
      </w:r>
      <w:r w:rsidRPr="00766D80">
        <w:rPr>
          <w:rStyle w:val="1cs5bdp"/>
          <w:rFonts w:ascii="Cambria" w:hAnsi="Cambria" w:cs="Segoe UI"/>
        </w:rPr>
        <w:t>and</w:t>
      </w:r>
      <w:r w:rsidRPr="00766D80">
        <w:rPr>
          <w:rFonts w:ascii="Cambria" w:hAnsi="Cambria"/>
        </w:rPr>
        <w:t xml:space="preserve"> </w:t>
      </w:r>
      <w:r w:rsidRPr="00766D80">
        <w:rPr>
          <w:rStyle w:val="1cs5bdp"/>
          <w:rFonts w:ascii="Cambria" w:hAnsi="Cambria" w:cs="Segoe UI"/>
        </w:rPr>
        <w:t>Human</w:t>
      </w:r>
      <w:r w:rsidRPr="00766D80">
        <w:rPr>
          <w:rFonts w:ascii="Cambria" w:hAnsi="Cambria"/>
        </w:rPr>
        <w:t xml:space="preserve"> </w:t>
      </w:r>
      <w:r w:rsidRPr="00766D80">
        <w:rPr>
          <w:rStyle w:val="1cs5bdp"/>
          <w:rFonts w:ascii="Cambria" w:hAnsi="Cambria" w:cs="Segoe UI"/>
        </w:rPr>
        <w:t>Rights</w:t>
      </w:r>
      <w:r w:rsidRPr="00766D80">
        <w:rPr>
          <w:rFonts w:ascii="Cambria" w:hAnsi="Cambria"/>
        </w:rPr>
        <w:t xml:space="preserve"> </w:t>
      </w:r>
      <w:r w:rsidRPr="00766D80">
        <w:rPr>
          <w:rStyle w:val="1cs5bdp"/>
          <w:rFonts w:ascii="Cambria" w:hAnsi="Cambria" w:cs="Segoe UI"/>
        </w:rPr>
        <w:t>Commission,</w:t>
      </w:r>
      <w:r w:rsidRPr="00766D80">
        <w:rPr>
          <w:rFonts w:ascii="Cambria" w:hAnsi="Cambria"/>
        </w:rPr>
        <w:t xml:space="preserve"> </w:t>
      </w:r>
      <w:r w:rsidRPr="00766D80">
        <w:rPr>
          <w:rStyle w:val="xxxjie0"/>
          <w:rFonts w:ascii="Cambria" w:hAnsi="Cambria" w:cs="Segoe UI"/>
          <w:i/>
          <w:iCs/>
        </w:rPr>
        <w:t>Submission</w:t>
      </w:r>
      <w:r w:rsidRPr="00766D80">
        <w:rPr>
          <w:rStyle w:val="Emphasis"/>
          <w:rFonts w:ascii="Cambria" w:hAnsi="Cambria" w:cs="Segoe UI"/>
        </w:rPr>
        <w:t xml:space="preserve"> </w:t>
      </w:r>
      <w:r w:rsidRPr="00766D80">
        <w:rPr>
          <w:rStyle w:val="xxxjie0"/>
          <w:rFonts w:ascii="Cambria" w:hAnsi="Cambria" w:cs="Segoe UI"/>
          <w:i/>
          <w:iCs/>
        </w:rPr>
        <w:t>to</w:t>
      </w:r>
      <w:r w:rsidRPr="00766D80">
        <w:rPr>
          <w:rStyle w:val="Emphasis"/>
          <w:rFonts w:ascii="Cambria" w:hAnsi="Cambria" w:cs="Segoe UI"/>
        </w:rPr>
        <w:t xml:space="preserve"> </w:t>
      </w:r>
      <w:r w:rsidRPr="00766D80">
        <w:rPr>
          <w:rStyle w:val="xxxjie0"/>
          <w:rFonts w:ascii="Cambria" w:hAnsi="Cambria" w:cs="Segoe UI"/>
          <w:i/>
          <w:iCs/>
        </w:rPr>
        <w:t>the</w:t>
      </w:r>
      <w:r w:rsidRPr="00766D80">
        <w:rPr>
          <w:rStyle w:val="Emphasis"/>
          <w:rFonts w:ascii="Cambria" w:hAnsi="Cambria" w:cs="Segoe UI"/>
        </w:rPr>
        <w:t xml:space="preserve"> </w:t>
      </w:r>
      <w:r w:rsidRPr="00766D80">
        <w:rPr>
          <w:rStyle w:val="xxxjie0"/>
          <w:rFonts w:ascii="Cambria" w:hAnsi="Cambria" w:cs="Segoe UI"/>
          <w:i/>
          <w:iCs/>
        </w:rPr>
        <w:t>Review</w:t>
      </w:r>
      <w:r w:rsidRPr="00766D80">
        <w:rPr>
          <w:rStyle w:val="Emphasis"/>
          <w:rFonts w:ascii="Cambria" w:hAnsi="Cambria" w:cs="Segoe UI"/>
        </w:rPr>
        <w:t xml:space="preserve"> </w:t>
      </w:r>
      <w:r w:rsidRPr="00766D80">
        <w:rPr>
          <w:rStyle w:val="xxxjie0"/>
          <w:rFonts w:ascii="Cambria" w:hAnsi="Cambria" w:cs="Segoe UI"/>
          <w:i/>
          <w:iCs/>
        </w:rPr>
        <w:t>of</w:t>
      </w:r>
      <w:r w:rsidRPr="00766D80">
        <w:rPr>
          <w:rStyle w:val="Emphasis"/>
          <w:rFonts w:ascii="Cambria" w:hAnsi="Cambria" w:cs="Segoe UI"/>
        </w:rPr>
        <w:t xml:space="preserve"> </w:t>
      </w:r>
      <w:r w:rsidRPr="00766D80">
        <w:rPr>
          <w:rStyle w:val="xxxjie0"/>
          <w:rFonts w:ascii="Cambria" w:hAnsi="Cambria" w:cs="Segoe UI"/>
          <w:i/>
          <w:iCs/>
        </w:rPr>
        <w:t>the</w:t>
      </w:r>
      <w:r w:rsidRPr="00766D80">
        <w:rPr>
          <w:rStyle w:val="Emphasis"/>
          <w:rFonts w:ascii="Cambria" w:hAnsi="Cambria" w:cs="Segoe UI"/>
        </w:rPr>
        <w:t xml:space="preserve"> </w:t>
      </w:r>
      <w:r w:rsidRPr="00766D80">
        <w:rPr>
          <w:rStyle w:val="xxxjie0"/>
          <w:rFonts w:ascii="Cambria" w:hAnsi="Cambria" w:cs="Segoe UI"/>
          <w:i/>
          <w:iCs/>
        </w:rPr>
        <w:t>Change</w:t>
      </w:r>
      <w:r w:rsidRPr="00766D80">
        <w:rPr>
          <w:rStyle w:val="Emphasis"/>
          <w:rFonts w:ascii="Cambria" w:hAnsi="Cambria" w:cs="Segoe UI"/>
        </w:rPr>
        <w:t xml:space="preserve"> </w:t>
      </w:r>
      <w:r w:rsidRPr="00766D80">
        <w:rPr>
          <w:rStyle w:val="xxxjie0"/>
          <w:rFonts w:ascii="Cambria" w:hAnsi="Cambria" w:cs="Segoe UI"/>
          <w:i/>
          <w:iCs/>
        </w:rPr>
        <w:t>or</w:t>
      </w:r>
      <w:r w:rsidRPr="00766D80">
        <w:rPr>
          <w:rStyle w:val="Emphasis"/>
          <w:rFonts w:ascii="Cambria" w:hAnsi="Cambria" w:cs="Segoe UI"/>
        </w:rPr>
        <w:t xml:space="preserve"> </w:t>
      </w:r>
      <w:r w:rsidRPr="00766D80">
        <w:rPr>
          <w:rStyle w:val="xxxjie0"/>
          <w:rFonts w:ascii="Cambria" w:hAnsi="Cambria" w:cs="Segoe UI"/>
          <w:i/>
          <w:iCs/>
        </w:rPr>
        <w:t>Suppression</w:t>
      </w:r>
      <w:r w:rsidRPr="00766D80">
        <w:rPr>
          <w:rStyle w:val="Emphasis"/>
          <w:rFonts w:ascii="Cambria" w:hAnsi="Cambria" w:cs="Segoe UI"/>
        </w:rPr>
        <w:t xml:space="preserve"> </w:t>
      </w:r>
      <w:r w:rsidRPr="00766D80">
        <w:rPr>
          <w:rStyle w:val="xxxjie0"/>
          <w:rFonts w:ascii="Cambria" w:hAnsi="Cambria" w:cs="Segoe UI"/>
          <w:i/>
          <w:iCs/>
        </w:rPr>
        <w:t>Practices</w:t>
      </w:r>
      <w:r w:rsidRPr="00766D80">
        <w:rPr>
          <w:rStyle w:val="Emphasis"/>
          <w:rFonts w:ascii="Cambria" w:hAnsi="Cambria" w:cs="Segoe UI"/>
        </w:rPr>
        <w:t xml:space="preserve"> </w:t>
      </w:r>
      <w:r w:rsidRPr="00766D80">
        <w:rPr>
          <w:rStyle w:val="xxxjie0"/>
          <w:rFonts w:ascii="Cambria" w:hAnsi="Cambria" w:cs="Segoe UI"/>
          <w:i/>
          <w:iCs/>
        </w:rPr>
        <w:t>Prohibition</w:t>
      </w:r>
      <w:r w:rsidRPr="00766D80">
        <w:rPr>
          <w:rStyle w:val="Emphasis"/>
          <w:rFonts w:ascii="Cambria" w:hAnsi="Cambria" w:cs="Segoe UI"/>
        </w:rPr>
        <w:t xml:space="preserve"> </w:t>
      </w:r>
      <w:r w:rsidRPr="00766D80">
        <w:rPr>
          <w:rStyle w:val="xxxjie0"/>
          <w:rFonts w:ascii="Cambria" w:hAnsi="Cambria" w:cs="Segoe UI"/>
          <w:i/>
          <w:iCs/>
        </w:rPr>
        <w:t>Act</w:t>
      </w:r>
      <w:r w:rsidRPr="00766D80">
        <w:rPr>
          <w:rFonts w:ascii="Cambria" w:hAnsi="Cambria"/>
        </w:rPr>
        <w:t xml:space="preserve"> </w:t>
      </w:r>
      <w:r w:rsidRPr="00766D80">
        <w:rPr>
          <w:rStyle w:val="1cs5bdp"/>
          <w:rFonts w:ascii="Cambria" w:hAnsi="Cambria" w:cs="Segoe UI"/>
        </w:rPr>
        <w:t>(Submission</w:t>
      </w:r>
      <w:r w:rsidRPr="00766D80">
        <w:rPr>
          <w:rFonts w:ascii="Cambria" w:hAnsi="Cambria"/>
        </w:rPr>
        <w:t xml:space="preserve"> </w:t>
      </w:r>
      <w:r w:rsidRPr="00766D80">
        <w:rPr>
          <w:rStyle w:val="1cs5bdp"/>
          <w:rFonts w:ascii="Cambria" w:hAnsi="Cambria" w:cs="Segoe UI"/>
        </w:rPr>
        <w:t>to</w:t>
      </w:r>
      <w:r w:rsidRPr="00766D80">
        <w:rPr>
          <w:rFonts w:ascii="Cambria" w:hAnsi="Cambria"/>
        </w:rPr>
        <w:t xml:space="preserve"> </w:t>
      </w:r>
      <w:r w:rsidRPr="00766D80">
        <w:rPr>
          <w:rStyle w:val="1cs5bdp"/>
          <w:rFonts w:ascii="Cambria" w:hAnsi="Cambria" w:cs="Segoe UI"/>
        </w:rPr>
        <w:t>the</w:t>
      </w:r>
      <w:r w:rsidRPr="00766D80">
        <w:rPr>
          <w:rFonts w:ascii="Cambria" w:hAnsi="Cambria"/>
        </w:rPr>
        <w:t xml:space="preserve"> </w:t>
      </w:r>
      <w:r w:rsidRPr="00766D80">
        <w:rPr>
          <w:rStyle w:val="1cs5bdp"/>
          <w:rFonts w:ascii="Cambria" w:hAnsi="Cambria" w:cs="Segoe UI"/>
        </w:rPr>
        <w:t>Victorian</w:t>
      </w:r>
      <w:r w:rsidRPr="00766D80">
        <w:rPr>
          <w:rFonts w:ascii="Cambria" w:hAnsi="Cambria"/>
        </w:rPr>
        <w:t xml:space="preserve"> </w:t>
      </w:r>
      <w:r w:rsidRPr="00766D80">
        <w:rPr>
          <w:rStyle w:val="1cs5bdp"/>
          <w:rFonts w:ascii="Cambria" w:hAnsi="Cambria" w:cs="Segoe UI"/>
        </w:rPr>
        <w:t>Law</w:t>
      </w:r>
      <w:r w:rsidRPr="00766D80">
        <w:rPr>
          <w:rFonts w:ascii="Cambria" w:hAnsi="Cambria"/>
        </w:rPr>
        <w:t xml:space="preserve"> </w:t>
      </w:r>
      <w:r w:rsidRPr="00766D80">
        <w:rPr>
          <w:rStyle w:val="xxxjie0"/>
          <w:rFonts w:ascii="Cambria" w:hAnsi="Cambria" w:cs="Segoe UI"/>
        </w:rPr>
        <w:t>Reform</w:t>
      </w:r>
      <w:r w:rsidRPr="00766D80">
        <w:rPr>
          <w:rFonts w:ascii="Cambria" w:hAnsi="Cambria"/>
        </w:rPr>
        <w:t xml:space="preserve"> </w:t>
      </w:r>
      <w:r w:rsidRPr="00766D80">
        <w:rPr>
          <w:rStyle w:val="xxxjie0"/>
          <w:rFonts w:ascii="Cambria" w:hAnsi="Cambria" w:cs="Segoe UI"/>
        </w:rPr>
        <w:t>Commission,</w:t>
      </w:r>
      <w:r w:rsidRPr="00766D80">
        <w:rPr>
          <w:rFonts w:ascii="Cambria" w:hAnsi="Cambria"/>
        </w:rPr>
        <w:t xml:space="preserve"> </w:t>
      </w:r>
      <w:r w:rsidRPr="00766D80">
        <w:rPr>
          <w:rStyle w:val="xxxjie0"/>
          <w:rFonts w:ascii="Cambria" w:hAnsi="Cambria" w:cs="Segoe UI"/>
        </w:rPr>
        <w:t>2026), recommendation 9.</w:t>
      </w:r>
    </w:p>
  </w:footnote>
  <w:footnote w:id="26">
    <w:p w14:paraId="76A5390A" w14:textId="7F8AD748" w:rsidR="00701352" w:rsidRPr="00766D80" w:rsidRDefault="00701352">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8(a) of the Bill. </w:t>
      </w:r>
    </w:p>
  </w:footnote>
  <w:footnote w:id="27">
    <w:p w14:paraId="32B9482F" w14:textId="77777777" w:rsidR="00701352" w:rsidRPr="00766D80" w:rsidRDefault="00701352" w:rsidP="00701352">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10(1) of the Bill. </w:t>
      </w:r>
    </w:p>
  </w:footnote>
  <w:footnote w:id="28">
    <w:p w14:paraId="6276C9AF" w14:textId="5FB5CF1F" w:rsidR="00D045F2" w:rsidRPr="00766D80" w:rsidRDefault="00D045F2">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Clause 29(1) of Bill. </w:t>
      </w:r>
    </w:p>
  </w:footnote>
  <w:footnote w:id="29">
    <w:p w14:paraId="102832AB" w14:textId="32D5F56A" w:rsidR="00F26F08" w:rsidRPr="00766D80" w:rsidRDefault="00F26F08">
      <w:pPr>
        <w:pStyle w:val="FootnoteText"/>
        <w:rPr>
          <w:rFonts w:ascii="Cambria" w:hAnsi="Cambria"/>
        </w:rPr>
      </w:pPr>
      <w:r w:rsidRPr="00766D80">
        <w:rPr>
          <w:rStyle w:val="FootnoteReference"/>
          <w:rFonts w:ascii="Cambria" w:hAnsi="Cambria"/>
        </w:rPr>
        <w:footnoteRef/>
      </w:r>
      <w:r w:rsidRPr="00766D80">
        <w:rPr>
          <w:rFonts w:ascii="Cambria" w:hAnsi="Cambria"/>
        </w:rPr>
        <w:t xml:space="preserve"> </w:t>
      </w:r>
      <w:r w:rsidRPr="00766D80">
        <w:rPr>
          <w:rStyle w:val="1cs5bdp"/>
          <w:rFonts w:ascii="Cambria" w:hAnsi="Cambria" w:cs="Segoe UI"/>
        </w:rPr>
        <w:t>Victorian</w:t>
      </w:r>
      <w:r w:rsidRPr="00766D80">
        <w:rPr>
          <w:rFonts w:ascii="Cambria" w:hAnsi="Cambria"/>
        </w:rPr>
        <w:t xml:space="preserve"> </w:t>
      </w:r>
      <w:r w:rsidRPr="00766D80">
        <w:rPr>
          <w:rStyle w:val="1cs5bdp"/>
          <w:rFonts w:ascii="Cambria" w:hAnsi="Cambria" w:cs="Segoe UI"/>
        </w:rPr>
        <w:t>Equal</w:t>
      </w:r>
      <w:r w:rsidRPr="00766D80">
        <w:rPr>
          <w:rFonts w:ascii="Cambria" w:hAnsi="Cambria"/>
        </w:rPr>
        <w:t xml:space="preserve"> </w:t>
      </w:r>
      <w:r w:rsidRPr="00766D80">
        <w:rPr>
          <w:rStyle w:val="1cs5bdp"/>
          <w:rFonts w:ascii="Cambria" w:hAnsi="Cambria" w:cs="Segoe UI"/>
        </w:rPr>
        <w:t>Opportunity</w:t>
      </w:r>
      <w:r w:rsidRPr="00766D80">
        <w:rPr>
          <w:rFonts w:ascii="Cambria" w:hAnsi="Cambria"/>
        </w:rPr>
        <w:t xml:space="preserve"> </w:t>
      </w:r>
      <w:r w:rsidRPr="00766D80">
        <w:rPr>
          <w:rStyle w:val="1cs5bdp"/>
          <w:rFonts w:ascii="Cambria" w:hAnsi="Cambria" w:cs="Segoe UI"/>
        </w:rPr>
        <w:t>and</w:t>
      </w:r>
      <w:r w:rsidRPr="00766D80">
        <w:rPr>
          <w:rFonts w:ascii="Cambria" w:hAnsi="Cambria"/>
        </w:rPr>
        <w:t xml:space="preserve"> </w:t>
      </w:r>
      <w:r w:rsidRPr="00766D80">
        <w:rPr>
          <w:rStyle w:val="1cs5bdp"/>
          <w:rFonts w:ascii="Cambria" w:hAnsi="Cambria" w:cs="Segoe UI"/>
        </w:rPr>
        <w:t>Human</w:t>
      </w:r>
      <w:r w:rsidRPr="00766D80">
        <w:rPr>
          <w:rFonts w:ascii="Cambria" w:hAnsi="Cambria"/>
        </w:rPr>
        <w:t xml:space="preserve"> </w:t>
      </w:r>
      <w:r w:rsidRPr="00766D80">
        <w:rPr>
          <w:rStyle w:val="1cs5bdp"/>
          <w:rFonts w:ascii="Cambria" w:hAnsi="Cambria" w:cs="Segoe UI"/>
        </w:rPr>
        <w:t>Rights</w:t>
      </w:r>
      <w:r w:rsidRPr="00766D80">
        <w:rPr>
          <w:rFonts w:ascii="Cambria" w:hAnsi="Cambria"/>
        </w:rPr>
        <w:t xml:space="preserve"> </w:t>
      </w:r>
      <w:r w:rsidRPr="00766D80">
        <w:rPr>
          <w:rStyle w:val="1cs5bdp"/>
          <w:rFonts w:ascii="Cambria" w:hAnsi="Cambria" w:cs="Segoe UI"/>
        </w:rPr>
        <w:t>Commission,</w:t>
      </w:r>
      <w:r w:rsidRPr="00766D80">
        <w:rPr>
          <w:rFonts w:ascii="Cambria" w:hAnsi="Cambria"/>
        </w:rPr>
        <w:t xml:space="preserve"> </w:t>
      </w:r>
      <w:r w:rsidRPr="00766D80">
        <w:rPr>
          <w:rStyle w:val="xxxjie0"/>
          <w:rFonts w:ascii="Cambria" w:hAnsi="Cambria" w:cs="Segoe UI"/>
          <w:i/>
          <w:iCs/>
        </w:rPr>
        <w:t>Submission</w:t>
      </w:r>
      <w:r w:rsidRPr="00766D80">
        <w:rPr>
          <w:rStyle w:val="Emphasis"/>
          <w:rFonts w:ascii="Cambria" w:hAnsi="Cambria" w:cs="Segoe UI"/>
        </w:rPr>
        <w:t xml:space="preserve"> </w:t>
      </w:r>
      <w:r w:rsidRPr="00766D80">
        <w:rPr>
          <w:rStyle w:val="xxxjie0"/>
          <w:rFonts w:ascii="Cambria" w:hAnsi="Cambria" w:cs="Segoe UI"/>
          <w:i/>
          <w:iCs/>
        </w:rPr>
        <w:t>to</w:t>
      </w:r>
      <w:r w:rsidRPr="00766D80">
        <w:rPr>
          <w:rStyle w:val="Emphasis"/>
          <w:rFonts w:ascii="Cambria" w:hAnsi="Cambria" w:cs="Segoe UI"/>
        </w:rPr>
        <w:t xml:space="preserve"> </w:t>
      </w:r>
      <w:r w:rsidRPr="00766D80">
        <w:rPr>
          <w:rStyle w:val="xxxjie0"/>
          <w:rFonts w:ascii="Cambria" w:hAnsi="Cambria" w:cs="Segoe UI"/>
          <w:i/>
          <w:iCs/>
        </w:rPr>
        <w:t>the</w:t>
      </w:r>
      <w:r w:rsidRPr="00766D80">
        <w:rPr>
          <w:rStyle w:val="Emphasis"/>
          <w:rFonts w:ascii="Cambria" w:hAnsi="Cambria" w:cs="Segoe UI"/>
        </w:rPr>
        <w:t xml:space="preserve"> </w:t>
      </w:r>
      <w:r w:rsidRPr="00766D80">
        <w:rPr>
          <w:rStyle w:val="xxxjie0"/>
          <w:rFonts w:ascii="Cambria" w:hAnsi="Cambria" w:cs="Segoe UI"/>
          <w:i/>
          <w:iCs/>
        </w:rPr>
        <w:t>Review</w:t>
      </w:r>
      <w:r w:rsidRPr="00766D80">
        <w:rPr>
          <w:rStyle w:val="Emphasis"/>
          <w:rFonts w:ascii="Cambria" w:hAnsi="Cambria" w:cs="Segoe UI"/>
        </w:rPr>
        <w:t xml:space="preserve"> </w:t>
      </w:r>
      <w:r w:rsidRPr="00766D80">
        <w:rPr>
          <w:rStyle w:val="xxxjie0"/>
          <w:rFonts w:ascii="Cambria" w:hAnsi="Cambria" w:cs="Segoe UI"/>
          <w:i/>
          <w:iCs/>
        </w:rPr>
        <w:t>of</w:t>
      </w:r>
      <w:r w:rsidRPr="00766D80">
        <w:rPr>
          <w:rStyle w:val="Emphasis"/>
          <w:rFonts w:ascii="Cambria" w:hAnsi="Cambria" w:cs="Segoe UI"/>
        </w:rPr>
        <w:t xml:space="preserve"> </w:t>
      </w:r>
      <w:r w:rsidRPr="00766D80">
        <w:rPr>
          <w:rStyle w:val="xxxjie0"/>
          <w:rFonts w:ascii="Cambria" w:hAnsi="Cambria" w:cs="Segoe UI"/>
          <w:i/>
          <w:iCs/>
        </w:rPr>
        <w:t>the</w:t>
      </w:r>
      <w:r w:rsidRPr="00766D80">
        <w:rPr>
          <w:rStyle w:val="Emphasis"/>
          <w:rFonts w:ascii="Cambria" w:hAnsi="Cambria" w:cs="Segoe UI"/>
        </w:rPr>
        <w:t xml:space="preserve"> </w:t>
      </w:r>
      <w:r w:rsidRPr="00766D80">
        <w:rPr>
          <w:rStyle w:val="xxxjie0"/>
          <w:rFonts w:ascii="Cambria" w:hAnsi="Cambria" w:cs="Segoe UI"/>
          <w:i/>
          <w:iCs/>
        </w:rPr>
        <w:t>Change</w:t>
      </w:r>
      <w:r w:rsidRPr="00766D80">
        <w:rPr>
          <w:rStyle w:val="Emphasis"/>
          <w:rFonts w:ascii="Cambria" w:hAnsi="Cambria" w:cs="Segoe UI"/>
        </w:rPr>
        <w:t xml:space="preserve"> </w:t>
      </w:r>
      <w:r w:rsidRPr="00766D80">
        <w:rPr>
          <w:rStyle w:val="xxxjie0"/>
          <w:rFonts w:ascii="Cambria" w:hAnsi="Cambria" w:cs="Segoe UI"/>
          <w:i/>
          <w:iCs/>
        </w:rPr>
        <w:t>or</w:t>
      </w:r>
      <w:r w:rsidRPr="00766D80">
        <w:rPr>
          <w:rStyle w:val="Emphasis"/>
          <w:rFonts w:ascii="Cambria" w:hAnsi="Cambria" w:cs="Segoe UI"/>
        </w:rPr>
        <w:t xml:space="preserve"> </w:t>
      </w:r>
      <w:r w:rsidRPr="00766D80">
        <w:rPr>
          <w:rStyle w:val="xxxjie0"/>
          <w:rFonts w:ascii="Cambria" w:hAnsi="Cambria" w:cs="Segoe UI"/>
          <w:i/>
          <w:iCs/>
        </w:rPr>
        <w:t>Suppression</w:t>
      </w:r>
      <w:r w:rsidRPr="00766D80">
        <w:rPr>
          <w:rStyle w:val="Emphasis"/>
          <w:rFonts w:ascii="Cambria" w:hAnsi="Cambria" w:cs="Segoe UI"/>
        </w:rPr>
        <w:t xml:space="preserve"> </w:t>
      </w:r>
      <w:r w:rsidRPr="00766D80">
        <w:rPr>
          <w:rStyle w:val="xxxjie0"/>
          <w:rFonts w:ascii="Cambria" w:hAnsi="Cambria" w:cs="Segoe UI"/>
          <w:i/>
          <w:iCs/>
        </w:rPr>
        <w:t>Practices</w:t>
      </w:r>
      <w:r w:rsidRPr="00766D80">
        <w:rPr>
          <w:rStyle w:val="Emphasis"/>
          <w:rFonts w:ascii="Cambria" w:hAnsi="Cambria" w:cs="Segoe UI"/>
        </w:rPr>
        <w:t xml:space="preserve"> </w:t>
      </w:r>
      <w:r w:rsidRPr="00766D80">
        <w:rPr>
          <w:rStyle w:val="xxxjie0"/>
          <w:rFonts w:ascii="Cambria" w:hAnsi="Cambria" w:cs="Segoe UI"/>
          <w:i/>
          <w:iCs/>
        </w:rPr>
        <w:t>Prohibition</w:t>
      </w:r>
      <w:r w:rsidRPr="00766D80">
        <w:rPr>
          <w:rStyle w:val="Emphasis"/>
          <w:rFonts w:ascii="Cambria" w:hAnsi="Cambria" w:cs="Segoe UI"/>
        </w:rPr>
        <w:t xml:space="preserve"> </w:t>
      </w:r>
      <w:r w:rsidRPr="00766D80">
        <w:rPr>
          <w:rStyle w:val="xxxjie0"/>
          <w:rFonts w:ascii="Cambria" w:hAnsi="Cambria" w:cs="Segoe UI"/>
          <w:i/>
          <w:iCs/>
        </w:rPr>
        <w:t>Act</w:t>
      </w:r>
      <w:r w:rsidRPr="00766D80">
        <w:rPr>
          <w:rFonts w:ascii="Cambria" w:hAnsi="Cambria"/>
        </w:rPr>
        <w:t xml:space="preserve"> </w:t>
      </w:r>
      <w:r w:rsidRPr="00766D80">
        <w:rPr>
          <w:rStyle w:val="1cs5bdp"/>
          <w:rFonts w:ascii="Cambria" w:hAnsi="Cambria" w:cs="Segoe UI"/>
        </w:rPr>
        <w:t>(Submission</w:t>
      </w:r>
      <w:r w:rsidRPr="00766D80">
        <w:rPr>
          <w:rFonts w:ascii="Cambria" w:hAnsi="Cambria"/>
        </w:rPr>
        <w:t xml:space="preserve"> </w:t>
      </w:r>
      <w:r w:rsidRPr="00766D80">
        <w:rPr>
          <w:rStyle w:val="1cs5bdp"/>
          <w:rFonts w:ascii="Cambria" w:hAnsi="Cambria" w:cs="Segoe UI"/>
        </w:rPr>
        <w:t>to</w:t>
      </w:r>
      <w:r w:rsidRPr="00766D80">
        <w:rPr>
          <w:rFonts w:ascii="Cambria" w:hAnsi="Cambria"/>
        </w:rPr>
        <w:t xml:space="preserve"> </w:t>
      </w:r>
      <w:r w:rsidRPr="00766D80">
        <w:rPr>
          <w:rStyle w:val="1cs5bdp"/>
          <w:rFonts w:ascii="Cambria" w:hAnsi="Cambria" w:cs="Segoe UI"/>
        </w:rPr>
        <w:t>the</w:t>
      </w:r>
      <w:r w:rsidRPr="00766D80">
        <w:rPr>
          <w:rFonts w:ascii="Cambria" w:hAnsi="Cambria"/>
        </w:rPr>
        <w:t xml:space="preserve"> </w:t>
      </w:r>
      <w:r w:rsidRPr="00766D80">
        <w:rPr>
          <w:rStyle w:val="1cs5bdp"/>
          <w:rFonts w:ascii="Cambria" w:hAnsi="Cambria" w:cs="Segoe UI"/>
        </w:rPr>
        <w:t>Victorian</w:t>
      </w:r>
      <w:r w:rsidRPr="00766D80">
        <w:rPr>
          <w:rFonts w:ascii="Cambria" w:hAnsi="Cambria"/>
        </w:rPr>
        <w:t xml:space="preserve"> </w:t>
      </w:r>
      <w:r w:rsidRPr="00766D80">
        <w:rPr>
          <w:rStyle w:val="1cs5bdp"/>
          <w:rFonts w:ascii="Cambria" w:hAnsi="Cambria" w:cs="Segoe UI"/>
        </w:rPr>
        <w:t>Law</w:t>
      </w:r>
      <w:r w:rsidRPr="00766D80">
        <w:rPr>
          <w:rFonts w:ascii="Cambria" w:hAnsi="Cambria"/>
        </w:rPr>
        <w:t xml:space="preserve"> </w:t>
      </w:r>
      <w:r w:rsidRPr="00766D80">
        <w:rPr>
          <w:rStyle w:val="xxxjie0"/>
          <w:rFonts w:ascii="Cambria" w:hAnsi="Cambria" w:cs="Segoe UI"/>
        </w:rPr>
        <w:t>Reform</w:t>
      </w:r>
      <w:r w:rsidRPr="00766D80">
        <w:rPr>
          <w:rFonts w:ascii="Cambria" w:hAnsi="Cambria"/>
        </w:rPr>
        <w:t xml:space="preserve"> </w:t>
      </w:r>
      <w:r w:rsidRPr="00766D80">
        <w:rPr>
          <w:rStyle w:val="xxxjie0"/>
          <w:rFonts w:ascii="Cambria" w:hAnsi="Cambria" w:cs="Segoe UI"/>
        </w:rPr>
        <w:t>Commission,</w:t>
      </w:r>
      <w:r w:rsidRPr="00766D80">
        <w:rPr>
          <w:rFonts w:ascii="Cambria" w:hAnsi="Cambria"/>
        </w:rPr>
        <w:t xml:space="preserve"> </w:t>
      </w:r>
      <w:r w:rsidRPr="00766D80">
        <w:rPr>
          <w:rStyle w:val="xxxjie0"/>
          <w:rFonts w:ascii="Cambria" w:hAnsi="Cambria" w:cs="Segoe UI"/>
        </w:rPr>
        <w:t>2026), recommendation 10.</w:t>
      </w:r>
    </w:p>
  </w:footnote>
  <w:footnote w:id="30">
    <w:p w14:paraId="23CB1376" w14:textId="0C9059DF" w:rsidR="00AA3FB8" w:rsidRDefault="00AA3FB8">
      <w:pPr>
        <w:pStyle w:val="FootnoteText"/>
      </w:pPr>
      <w:r w:rsidRPr="00766D80">
        <w:rPr>
          <w:rStyle w:val="FootnoteReference"/>
          <w:rFonts w:ascii="Cambria" w:hAnsi="Cambria"/>
        </w:rPr>
        <w:footnoteRef/>
      </w:r>
      <w:r w:rsidRPr="00766D80">
        <w:rPr>
          <w:rFonts w:ascii="Cambria" w:hAnsi="Cambria"/>
        </w:rPr>
        <w:t xml:space="preserve"> Clause 19(1)(f) of Bill.</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4FE0"/>
    <w:multiLevelType w:val="multilevel"/>
    <w:tmpl w:val="A6B01A46"/>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Cambria" w:eastAsia="Times New Roman"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66FD0"/>
    <w:multiLevelType w:val="multilevel"/>
    <w:tmpl w:val="9DA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75D86"/>
    <w:multiLevelType w:val="hybridMultilevel"/>
    <w:tmpl w:val="DCA4370C"/>
    <w:lvl w:ilvl="0" w:tplc="BEEA9D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7454883">
    <w:abstractNumId w:val="0"/>
  </w:num>
  <w:num w:numId="2" w16cid:durableId="1078986936">
    <w:abstractNumId w:val="1"/>
  </w:num>
  <w:num w:numId="3" w16cid:durableId="1286157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3E"/>
    <w:rsid w:val="00007B89"/>
    <w:rsid w:val="00024572"/>
    <w:rsid w:val="0002671A"/>
    <w:rsid w:val="00087D56"/>
    <w:rsid w:val="0009173E"/>
    <w:rsid w:val="0009235A"/>
    <w:rsid w:val="000E4CF0"/>
    <w:rsid w:val="0018177D"/>
    <w:rsid w:val="00191CBD"/>
    <w:rsid w:val="00193E75"/>
    <w:rsid w:val="001F133B"/>
    <w:rsid w:val="00215FCE"/>
    <w:rsid w:val="00255FAD"/>
    <w:rsid w:val="002A0661"/>
    <w:rsid w:val="002C2B36"/>
    <w:rsid w:val="00364DE3"/>
    <w:rsid w:val="003A42E3"/>
    <w:rsid w:val="00463308"/>
    <w:rsid w:val="00546E7F"/>
    <w:rsid w:val="005C1638"/>
    <w:rsid w:val="005C5A7C"/>
    <w:rsid w:val="00624C9A"/>
    <w:rsid w:val="00686C0E"/>
    <w:rsid w:val="006C594D"/>
    <w:rsid w:val="006D0D71"/>
    <w:rsid w:val="006F3D30"/>
    <w:rsid w:val="00701352"/>
    <w:rsid w:val="00766D80"/>
    <w:rsid w:val="0077390C"/>
    <w:rsid w:val="007E715E"/>
    <w:rsid w:val="00801494"/>
    <w:rsid w:val="00827843"/>
    <w:rsid w:val="008447E8"/>
    <w:rsid w:val="008C2524"/>
    <w:rsid w:val="009203F5"/>
    <w:rsid w:val="0096789F"/>
    <w:rsid w:val="009C099C"/>
    <w:rsid w:val="009D260D"/>
    <w:rsid w:val="00A232B5"/>
    <w:rsid w:val="00A710B1"/>
    <w:rsid w:val="00A870A2"/>
    <w:rsid w:val="00AA3FB8"/>
    <w:rsid w:val="00AC055A"/>
    <w:rsid w:val="00AE2FC2"/>
    <w:rsid w:val="00B1126C"/>
    <w:rsid w:val="00BB0892"/>
    <w:rsid w:val="00BD18D4"/>
    <w:rsid w:val="00C0329E"/>
    <w:rsid w:val="00C556BF"/>
    <w:rsid w:val="00C83509"/>
    <w:rsid w:val="00CF6E71"/>
    <w:rsid w:val="00D045F2"/>
    <w:rsid w:val="00D81A3A"/>
    <w:rsid w:val="00D85688"/>
    <w:rsid w:val="00DE4EE6"/>
    <w:rsid w:val="00DF244C"/>
    <w:rsid w:val="00E05339"/>
    <w:rsid w:val="00F031F7"/>
    <w:rsid w:val="00F146F8"/>
    <w:rsid w:val="00F26F08"/>
    <w:rsid w:val="00F93DA5"/>
    <w:rsid w:val="00FD40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19B1DD"/>
  <w15:chartTrackingRefBased/>
  <w15:docId w15:val="{1D5BA13B-06F0-6049-9BDD-236852E6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73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91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91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7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7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7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7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7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7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7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1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17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17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17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1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73E"/>
    <w:rPr>
      <w:rFonts w:eastAsiaTheme="majorEastAsia" w:cstheme="majorBidi"/>
      <w:color w:val="272727" w:themeColor="text1" w:themeTint="D8"/>
    </w:rPr>
  </w:style>
  <w:style w:type="paragraph" w:styleId="Title">
    <w:name w:val="Title"/>
    <w:basedOn w:val="Normal"/>
    <w:next w:val="Normal"/>
    <w:link w:val="TitleChar"/>
    <w:uiPriority w:val="10"/>
    <w:qFormat/>
    <w:rsid w:val="000917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7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7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173E"/>
    <w:rPr>
      <w:i/>
      <w:iCs/>
      <w:color w:val="404040" w:themeColor="text1" w:themeTint="BF"/>
    </w:rPr>
  </w:style>
  <w:style w:type="paragraph" w:styleId="ListParagraph">
    <w:name w:val="List Paragraph"/>
    <w:basedOn w:val="Normal"/>
    <w:uiPriority w:val="34"/>
    <w:qFormat/>
    <w:rsid w:val="0009173E"/>
    <w:pPr>
      <w:ind w:left="720"/>
      <w:contextualSpacing/>
    </w:pPr>
  </w:style>
  <w:style w:type="character" w:styleId="IntenseEmphasis">
    <w:name w:val="Intense Emphasis"/>
    <w:basedOn w:val="DefaultParagraphFont"/>
    <w:uiPriority w:val="21"/>
    <w:qFormat/>
    <w:rsid w:val="0009173E"/>
    <w:rPr>
      <w:i/>
      <w:iCs/>
      <w:color w:val="2F5496" w:themeColor="accent1" w:themeShade="BF"/>
    </w:rPr>
  </w:style>
  <w:style w:type="paragraph" w:styleId="IntenseQuote">
    <w:name w:val="Intense Quote"/>
    <w:basedOn w:val="Normal"/>
    <w:next w:val="Normal"/>
    <w:link w:val="IntenseQuoteChar"/>
    <w:uiPriority w:val="30"/>
    <w:qFormat/>
    <w:rsid w:val="00091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173E"/>
    <w:rPr>
      <w:i/>
      <w:iCs/>
      <w:color w:val="2F5496" w:themeColor="accent1" w:themeShade="BF"/>
    </w:rPr>
  </w:style>
  <w:style w:type="character" w:styleId="IntenseReference">
    <w:name w:val="Intense Reference"/>
    <w:basedOn w:val="DefaultParagraphFont"/>
    <w:uiPriority w:val="32"/>
    <w:qFormat/>
    <w:rsid w:val="0009173E"/>
    <w:rPr>
      <w:b/>
      <w:bCs/>
      <w:smallCaps/>
      <w:color w:val="2F5496" w:themeColor="accent1" w:themeShade="BF"/>
      <w:spacing w:val="5"/>
    </w:rPr>
  </w:style>
  <w:style w:type="character" w:styleId="FootnoteReference">
    <w:name w:val="footnote reference"/>
    <w:aliases w:val="Footnotes refss,Ref,de nota al pie"/>
    <w:basedOn w:val="DefaultParagraphFont"/>
    <w:uiPriority w:val="99"/>
    <w:unhideWhenUsed/>
    <w:qFormat/>
    <w:rsid w:val="0009173E"/>
    <w:rPr>
      <w:vertAlign w:val="superscript"/>
    </w:rPr>
  </w:style>
  <w:style w:type="paragraph" w:styleId="NoSpacing">
    <w:name w:val="No Spacing"/>
    <w:uiPriority w:val="1"/>
    <w:qFormat/>
    <w:rsid w:val="0009173E"/>
    <w:rPr>
      <w:kern w:val="0"/>
      <w:sz w:val="22"/>
      <w:szCs w:val="22"/>
      <w14:ligatures w14:val="none"/>
    </w:rPr>
  </w:style>
  <w:style w:type="paragraph" w:styleId="FootnoteText">
    <w:name w:val="footnote text"/>
    <w:aliases w:val="Footnote,Text,Footnote Text Char Char Char Char Char Char Char,Footnote Text Char Char Char Char Char Char,Footnote Text Char Char Char Char Char Char Char Char Char Char Char Char Char Char Char Char Char,single space Char,single space"/>
    <w:basedOn w:val="Normal"/>
    <w:link w:val="FootnoteTextChar"/>
    <w:uiPriority w:val="99"/>
    <w:unhideWhenUsed/>
    <w:rsid w:val="0009173E"/>
    <w:rPr>
      <w:sz w:val="20"/>
      <w:szCs w:val="20"/>
    </w:rPr>
  </w:style>
  <w:style w:type="character" w:customStyle="1" w:styleId="FootnoteTextChar">
    <w:name w:val="Footnote Text Char"/>
    <w:aliases w:val="Footnote Char,Text Char,Footnote Text Char Char Char Char Char Char Char Char,Footnote Text Char Char Char Char Char Char Char1,Footnote Text Char Char Char Char Char Char Char Char Char Char Char Char Char Char Char Char Char Char"/>
    <w:basedOn w:val="DefaultParagraphFont"/>
    <w:link w:val="FootnoteText"/>
    <w:uiPriority w:val="99"/>
    <w:rsid w:val="0009173E"/>
    <w:rPr>
      <w:rFonts w:ascii="Times New Roman" w:eastAsia="Times New Roman" w:hAnsi="Times New Roman" w:cs="Times New Roman"/>
      <w:kern w:val="0"/>
      <w:sz w:val="20"/>
      <w:szCs w:val="20"/>
      <w:lang w:eastAsia="en-GB"/>
      <w14:ligatures w14:val="none"/>
    </w:rPr>
  </w:style>
  <w:style w:type="character" w:customStyle="1" w:styleId="frag-no">
    <w:name w:val="frag-no"/>
    <w:basedOn w:val="DefaultParagraphFont"/>
    <w:rsid w:val="0009173E"/>
  </w:style>
  <w:style w:type="character" w:customStyle="1" w:styleId="frag-heading">
    <w:name w:val="frag-heading"/>
    <w:basedOn w:val="DefaultParagraphFont"/>
    <w:rsid w:val="0009173E"/>
  </w:style>
  <w:style w:type="character" w:customStyle="1" w:styleId="whitespace-normal">
    <w:name w:val="whitespace-normal"/>
    <w:basedOn w:val="DefaultParagraphFont"/>
    <w:rsid w:val="0009173E"/>
  </w:style>
  <w:style w:type="character" w:styleId="Hyperlink">
    <w:name w:val="Hyperlink"/>
    <w:basedOn w:val="DefaultParagraphFont"/>
    <w:uiPriority w:val="99"/>
    <w:unhideWhenUsed/>
    <w:rsid w:val="0009173E"/>
    <w:rPr>
      <w:color w:val="0000FF"/>
      <w:u w:val="single"/>
    </w:rPr>
  </w:style>
  <w:style w:type="character" w:styleId="Emphasis">
    <w:name w:val="Emphasis"/>
    <w:basedOn w:val="DefaultParagraphFont"/>
    <w:uiPriority w:val="20"/>
    <w:qFormat/>
    <w:rsid w:val="0009173E"/>
    <w:rPr>
      <w:i/>
      <w:iCs/>
    </w:rPr>
  </w:style>
  <w:style w:type="paragraph" w:styleId="Footer">
    <w:name w:val="footer"/>
    <w:basedOn w:val="Normal"/>
    <w:link w:val="FooterChar"/>
    <w:uiPriority w:val="99"/>
    <w:unhideWhenUsed/>
    <w:rsid w:val="0009173E"/>
    <w:pPr>
      <w:tabs>
        <w:tab w:val="center" w:pos="4513"/>
        <w:tab w:val="right" w:pos="9026"/>
      </w:tabs>
    </w:pPr>
  </w:style>
  <w:style w:type="character" w:customStyle="1" w:styleId="FooterChar">
    <w:name w:val="Footer Char"/>
    <w:basedOn w:val="DefaultParagraphFont"/>
    <w:link w:val="Footer"/>
    <w:uiPriority w:val="99"/>
    <w:rsid w:val="0009173E"/>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09173E"/>
  </w:style>
  <w:style w:type="character" w:styleId="UnresolvedMention">
    <w:name w:val="Unresolved Mention"/>
    <w:basedOn w:val="DefaultParagraphFont"/>
    <w:uiPriority w:val="99"/>
    <w:semiHidden/>
    <w:unhideWhenUsed/>
    <w:rsid w:val="0009173E"/>
    <w:rPr>
      <w:color w:val="605E5C"/>
      <w:shd w:val="clear" w:color="auto" w:fill="E1DFDD"/>
    </w:rPr>
  </w:style>
  <w:style w:type="paragraph" w:styleId="NormalWeb">
    <w:name w:val="Normal (Web)"/>
    <w:basedOn w:val="Normal"/>
    <w:uiPriority w:val="99"/>
    <w:semiHidden/>
    <w:unhideWhenUsed/>
    <w:rsid w:val="008C2524"/>
    <w:pPr>
      <w:spacing w:before="100" w:beforeAutospacing="1" w:after="100" w:afterAutospacing="1"/>
    </w:pPr>
  </w:style>
  <w:style w:type="character" w:customStyle="1" w:styleId="1cs5bdp">
    <w:name w:val="___1cs5bdp"/>
    <w:basedOn w:val="DefaultParagraphFont"/>
    <w:rsid w:val="00AA3FB8"/>
  </w:style>
  <w:style w:type="table" w:styleId="TableGrid">
    <w:name w:val="Table Grid"/>
    <w:basedOn w:val="TableNormal"/>
    <w:uiPriority w:val="39"/>
    <w:rsid w:val="00AA3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xjie0">
    <w:name w:val="___xxxjie0"/>
    <w:basedOn w:val="DefaultParagraphFont"/>
    <w:rsid w:val="00AA3FB8"/>
  </w:style>
  <w:style w:type="character" w:styleId="FollowedHyperlink">
    <w:name w:val="FollowedHyperlink"/>
    <w:basedOn w:val="DefaultParagraphFont"/>
    <w:uiPriority w:val="99"/>
    <w:semiHidden/>
    <w:unhideWhenUsed/>
    <w:rsid w:val="00E053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718987">
      <w:bodyDiv w:val="1"/>
      <w:marLeft w:val="0"/>
      <w:marRight w:val="0"/>
      <w:marTop w:val="0"/>
      <w:marBottom w:val="0"/>
      <w:divBdr>
        <w:top w:val="none" w:sz="0" w:space="0" w:color="auto"/>
        <w:left w:val="none" w:sz="0" w:space="0" w:color="auto"/>
        <w:bottom w:val="none" w:sz="0" w:space="0" w:color="auto"/>
        <w:right w:val="none" w:sz="0" w:space="0" w:color="auto"/>
      </w:divBdr>
      <w:divsChild>
        <w:div w:id="560798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ens@parliament.tas.gov.a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sychology.org.au/getmedia/ebd486a2-761c-403c-bdef-406fda87dc4b/Position-Statement-Sexual-Orientation.pdf" TargetMode="External"/><Relationship Id="rId2" Type="http://schemas.openxmlformats.org/officeDocument/2006/relationships/hyperlink" Target="https://www.refworld.org/docid/589dad3d4.html" TargetMode="External"/><Relationship Id="rId1" Type="http://schemas.openxmlformats.org/officeDocument/2006/relationships/hyperlink" Target="http://www.ohchr.org/Documents/Issues/Discrimination/Joint_LGBTI_Statement_ENG.PDF" TargetMode="External"/><Relationship Id="rId6" Type="http://schemas.openxmlformats.org/officeDocument/2006/relationships/hyperlink" Target="https://www.abc.net.au/news/2023-07-17/asexual-people-officially-recognised-by-tasmanian-government/102605830" TargetMode="External"/><Relationship Id="rId5" Type="http://schemas.openxmlformats.org/officeDocument/2006/relationships/hyperlink" Target="https://equalitytasmania.org.au/concern-conversion-bill-will-allow-practices-to-continue/" TargetMode="External"/><Relationship Id="rId4" Type="http://schemas.openxmlformats.org/officeDocument/2006/relationships/hyperlink" Target="https://www.refworld.org/docid/589dad3d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Bartl</dc:creator>
  <cp:keywords/>
  <dc:description/>
  <cp:lastModifiedBy>Benedict Bartl</cp:lastModifiedBy>
  <cp:revision>3</cp:revision>
  <dcterms:created xsi:type="dcterms:W3CDTF">2026-08-06T19:49:00Z</dcterms:created>
  <dcterms:modified xsi:type="dcterms:W3CDTF">2026-08-06T20:54:00Z</dcterms:modified>
</cp:coreProperties>
</file>