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C64D" w14:textId="5AE503A7" w:rsidR="00C52E31" w:rsidRDefault="00C52E31" w:rsidP="00C52E31">
      <w:pPr>
        <w:ind w:right="-205"/>
        <w:rPr>
          <w:rFonts w:ascii="Cambria" w:hAnsi="Cambria"/>
          <w:color w:val="000000" w:themeColor="text1"/>
          <w:sz w:val="23"/>
          <w:szCs w:val="23"/>
        </w:rPr>
      </w:pPr>
      <w:r w:rsidRPr="00BC0D6B">
        <w:rPr>
          <w:noProof/>
          <w:sz w:val="20"/>
          <w:szCs w:val="20"/>
          <w:lang w:val="en-US"/>
        </w:rPr>
        <w:drawing>
          <wp:anchor distT="0" distB="0" distL="114300" distR="114300" simplePos="0" relativeHeight="251664384" behindDoc="0" locked="0" layoutInCell="1" allowOverlap="1" wp14:anchorId="450434AE" wp14:editId="5CD5946B">
            <wp:simplePos x="0" y="0"/>
            <wp:positionH relativeFrom="margin">
              <wp:posOffset>969356</wp:posOffset>
            </wp:positionH>
            <wp:positionV relativeFrom="margin">
              <wp:posOffset>55418</wp:posOffset>
            </wp:positionV>
            <wp:extent cx="3426460" cy="1163955"/>
            <wp:effectExtent l="0" t="0" r="2540" b="4445"/>
            <wp:wrapSquare wrapText="bothSides"/>
            <wp:docPr id="1049957477" name="Picture 1" descr="Shared Docs:Public:Sister Organisations:CLC Tas:CLCLogos:CLCTas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 Docs:Public:Sister Organisations:CLC Tas:CLCLogos:CLCTas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6460" cy="1163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9E5CF0" w14:textId="77777777" w:rsidR="00C52E31" w:rsidRDefault="00C52E31" w:rsidP="00C52E31">
      <w:pPr>
        <w:ind w:right="-205"/>
        <w:jc w:val="center"/>
        <w:rPr>
          <w:rFonts w:ascii="Cambria" w:hAnsi="Cambria"/>
          <w:color w:val="000000" w:themeColor="text1"/>
          <w:sz w:val="23"/>
          <w:szCs w:val="23"/>
        </w:rPr>
      </w:pPr>
    </w:p>
    <w:p w14:paraId="1C1AFDD9" w14:textId="77777777" w:rsidR="00C52E31" w:rsidRDefault="00C52E31" w:rsidP="00C52E31">
      <w:pPr>
        <w:ind w:right="-205"/>
        <w:rPr>
          <w:rFonts w:ascii="Cambria" w:hAnsi="Cambria"/>
          <w:color w:val="000000" w:themeColor="text1"/>
          <w:sz w:val="23"/>
          <w:szCs w:val="23"/>
        </w:rPr>
      </w:pPr>
    </w:p>
    <w:p w14:paraId="586C19EA" w14:textId="19AB478F" w:rsidR="00C52E31" w:rsidRPr="00F00C5A" w:rsidRDefault="00C52E31" w:rsidP="00C52E31">
      <w:pPr>
        <w:ind w:right="-205"/>
        <w:rPr>
          <w:rFonts w:ascii="Cambria" w:hAnsi="Cambria"/>
          <w:color w:val="000000" w:themeColor="text1"/>
          <w:sz w:val="23"/>
          <w:szCs w:val="23"/>
        </w:rPr>
      </w:pPr>
      <w:r>
        <w:rPr>
          <w:rFonts w:ascii="Cambria" w:hAnsi="Cambria"/>
          <w:color w:val="000000" w:themeColor="text1"/>
          <w:sz w:val="23"/>
          <w:szCs w:val="23"/>
        </w:rPr>
        <w:tab/>
      </w:r>
      <w:r>
        <w:rPr>
          <w:rFonts w:ascii="Cambria" w:hAnsi="Cambria"/>
          <w:color w:val="000000" w:themeColor="text1"/>
          <w:sz w:val="23"/>
          <w:szCs w:val="23"/>
        </w:rPr>
        <w:tab/>
      </w:r>
      <w:r>
        <w:rPr>
          <w:rFonts w:ascii="Cambria" w:hAnsi="Cambria"/>
          <w:color w:val="000000" w:themeColor="text1"/>
          <w:sz w:val="23"/>
          <w:szCs w:val="23"/>
        </w:rPr>
        <w:tab/>
      </w:r>
      <w:r>
        <w:rPr>
          <w:rFonts w:ascii="Cambria" w:hAnsi="Cambria"/>
          <w:color w:val="000000" w:themeColor="text1"/>
          <w:sz w:val="23"/>
          <w:szCs w:val="23"/>
        </w:rPr>
        <w:tab/>
      </w:r>
    </w:p>
    <w:p w14:paraId="462AFB0D" w14:textId="77777777" w:rsidR="00C52E31" w:rsidRDefault="00C52E31" w:rsidP="00C52E31">
      <w:pPr>
        <w:ind w:right="-205"/>
        <w:jc w:val="both"/>
        <w:rPr>
          <w:rFonts w:ascii="Cambria" w:hAnsi="Cambria"/>
          <w:color w:val="000000" w:themeColor="text1"/>
          <w:sz w:val="23"/>
          <w:szCs w:val="23"/>
        </w:rPr>
      </w:pPr>
    </w:p>
    <w:p w14:paraId="5A8E652D" w14:textId="77777777" w:rsidR="00C52E31" w:rsidRDefault="00C52E31" w:rsidP="00C52E31">
      <w:pPr>
        <w:ind w:right="-205"/>
        <w:jc w:val="both"/>
        <w:rPr>
          <w:rFonts w:ascii="Cambria" w:hAnsi="Cambria"/>
          <w:color w:val="000000" w:themeColor="text1"/>
          <w:sz w:val="23"/>
          <w:szCs w:val="23"/>
        </w:rPr>
      </w:pPr>
    </w:p>
    <w:p w14:paraId="6F9F026B" w14:textId="77777777" w:rsidR="00C52E31" w:rsidRDefault="00C52E31" w:rsidP="00C52E31">
      <w:pPr>
        <w:ind w:right="-205"/>
        <w:jc w:val="both"/>
        <w:rPr>
          <w:rFonts w:ascii="Cambria" w:hAnsi="Cambria"/>
          <w:color w:val="000000" w:themeColor="text1"/>
          <w:sz w:val="23"/>
          <w:szCs w:val="23"/>
        </w:rPr>
      </w:pPr>
    </w:p>
    <w:p w14:paraId="4605F289" w14:textId="77777777" w:rsidR="00C52E31" w:rsidRPr="00A6355A" w:rsidRDefault="00C52E31" w:rsidP="00C52E31">
      <w:pPr>
        <w:ind w:right="-205"/>
        <w:jc w:val="both"/>
        <w:rPr>
          <w:rFonts w:ascii="Cambria" w:hAnsi="Cambria"/>
          <w:color w:val="000000" w:themeColor="text1"/>
        </w:rPr>
      </w:pPr>
    </w:p>
    <w:p w14:paraId="06B57553" w14:textId="77777777" w:rsidR="00414389" w:rsidRDefault="00414389" w:rsidP="00C52E31">
      <w:pPr>
        <w:ind w:right="-205"/>
        <w:jc w:val="both"/>
        <w:rPr>
          <w:rFonts w:ascii="Cambria" w:hAnsi="Cambria"/>
          <w:color w:val="EE0000"/>
        </w:rPr>
      </w:pPr>
    </w:p>
    <w:p w14:paraId="79EE01C7" w14:textId="68FE815B" w:rsidR="00C52E31" w:rsidRPr="00A6355A" w:rsidRDefault="00C52E31" w:rsidP="00C52E31">
      <w:pPr>
        <w:ind w:right="-205"/>
        <w:jc w:val="both"/>
        <w:rPr>
          <w:rFonts w:ascii="Cambria" w:hAnsi="Cambria"/>
          <w:color w:val="000000" w:themeColor="text1"/>
        </w:rPr>
      </w:pPr>
      <w:r w:rsidRPr="00A6355A">
        <w:rPr>
          <w:rFonts w:ascii="Cambria" w:hAnsi="Cambria"/>
          <w:color w:val="000000" w:themeColor="text1"/>
        </w:rPr>
        <w:t>10 July 2026</w:t>
      </w:r>
    </w:p>
    <w:p w14:paraId="79A59E9C" w14:textId="77777777" w:rsidR="00C52E31" w:rsidRPr="00A6355A" w:rsidRDefault="00C52E31" w:rsidP="00C52E31">
      <w:pPr>
        <w:ind w:right="-347"/>
        <w:rPr>
          <w:rFonts w:ascii="Cambria" w:hAnsi="Cambria"/>
          <w:color w:val="000000" w:themeColor="text1"/>
        </w:rPr>
      </w:pPr>
    </w:p>
    <w:p w14:paraId="05ACB5F1" w14:textId="6A74F46E" w:rsidR="00C52E31" w:rsidRPr="00A6355A" w:rsidRDefault="00C52E31" w:rsidP="00C52E31">
      <w:pPr>
        <w:ind w:right="-347"/>
        <w:rPr>
          <w:rFonts w:ascii="Cambria" w:hAnsi="Cambria"/>
          <w:color w:val="000000" w:themeColor="text1"/>
        </w:rPr>
      </w:pPr>
      <w:r w:rsidRPr="00A6355A">
        <w:rPr>
          <w:rFonts w:ascii="Cambria" w:hAnsi="Cambria"/>
          <w:color w:val="000000" w:themeColor="text1"/>
        </w:rPr>
        <w:t>Voluntary Assisted Dying Independent Review</w:t>
      </w:r>
    </w:p>
    <w:p w14:paraId="207CBB99" w14:textId="12E55C30" w:rsidR="00C52E31" w:rsidRPr="00A6355A" w:rsidRDefault="00C52E31" w:rsidP="00C52E31">
      <w:pPr>
        <w:ind w:right="-347"/>
        <w:rPr>
          <w:rFonts w:ascii="Cambria" w:hAnsi="Cambria"/>
          <w:color w:val="000000" w:themeColor="text1"/>
        </w:rPr>
      </w:pPr>
      <w:r w:rsidRPr="00A6355A">
        <w:rPr>
          <w:rFonts w:ascii="Cambria" w:hAnsi="Cambria"/>
          <w:color w:val="000000" w:themeColor="text1"/>
        </w:rPr>
        <w:t>Office of the Secretary</w:t>
      </w:r>
    </w:p>
    <w:p w14:paraId="5B2229DB" w14:textId="48AC992A" w:rsidR="00C52E31" w:rsidRPr="00A6355A" w:rsidRDefault="00C52E31" w:rsidP="00C52E31">
      <w:pPr>
        <w:ind w:right="-347"/>
        <w:rPr>
          <w:rFonts w:ascii="Cambria" w:hAnsi="Cambria"/>
          <w:color w:val="000000" w:themeColor="text1"/>
        </w:rPr>
      </w:pPr>
      <w:r w:rsidRPr="00A6355A">
        <w:rPr>
          <w:rFonts w:ascii="Cambria" w:hAnsi="Cambria"/>
          <w:color w:val="000000" w:themeColor="text1"/>
        </w:rPr>
        <w:t>Department of Health</w:t>
      </w:r>
    </w:p>
    <w:p w14:paraId="37289150" w14:textId="1EC486D8" w:rsidR="00C52E31" w:rsidRPr="00A6355A" w:rsidRDefault="00C52E31" w:rsidP="00C52E31">
      <w:pPr>
        <w:ind w:right="-347"/>
        <w:rPr>
          <w:rFonts w:ascii="Cambria" w:hAnsi="Cambria"/>
          <w:color w:val="000000" w:themeColor="text1"/>
        </w:rPr>
      </w:pPr>
      <w:r w:rsidRPr="00A6355A">
        <w:rPr>
          <w:rFonts w:ascii="Cambria" w:hAnsi="Cambria"/>
          <w:color w:val="000000" w:themeColor="text1"/>
        </w:rPr>
        <w:t>Level 10, 22 Elizabeth St</w:t>
      </w:r>
    </w:p>
    <w:p w14:paraId="0BBF9AC2" w14:textId="74DBA375" w:rsidR="00C52E31" w:rsidRPr="00A6355A" w:rsidRDefault="00C52E31" w:rsidP="00C52E31">
      <w:pPr>
        <w:ind w:right="-347"/>
        <w:rPr>
          <w:rFonts w:ascii="Cambria" w:hAnsi="Cambria"/>
          <w:color w:val="000000" w:themeColor="text1"/>
        </w:rPr>
      </w:pPr>
      <w:r w:rsidRPr="00A6355A">
        <w:rPr>
          <w:rFonts w:ascii="Cambria" w:hAnsi="Cambria"/>
          <w:color w:val="000000" w:themeColor="text1"/>
        </w:rPr>
        <w:t>Hobart TAS 7000</w:t>
      </w:r>
    </w:p>
    <w:p w14:paraId="50A0BD7F" w14:textId="13AD215B" w:rsidR="00C52E31" w:rsidRPr="00A6355A" w:rsidRDefault="00C52E31" w:rsidP="00C52E31">
      <w:pPr>
        <w:ind w:left="1440" w:right="-347" w:firstLine="720"/>
        <w:rPr>
          <w:rFonts w:ascii="Cambria" w:hAnsi="Cambria"/>
          <w:i/>
          <w:iCs/>
          <w:color w:val="000000" w:themeColor="text1"/>
        </w:rPr>
      </w:pPr>
      <w:r w:rsidRPr="00A6355A">
        <w:rPr>
          <w:rFonts w:ascii="Cambria" w:hAnsi="Cambria"/>
          <w:i/>
          <w:iCs/>
          <w:color w:val="000000" w:themeColor="text1"/>
        </w:rPr>
        <w:t xml:space="preserve">via email: </w:t>
      </w:r>
      <w:hyperlink r:id="rId8" w:history="1">
        <w:r w:rsidR="00AA58F1" w:rsidRPr="00A6355A">
          <w:rPr>
            <w:rStyle w:val="Hyperlink"/>
            <w:rFonts w:ascii="Cambria" w:hAnsi="Cambria"/>
            <w:i/>
            <w:iCs/>
          </w:rPr>
          <w:t>VADReview@health.tas.gov.au</w:t>
        </w:r>
      </w:hyperlink>
      <w:r w:rsidR="00AA58F1" w:rsidRPr="00A6355A">
        <w:rPr>
          <w:rFonts w:ascii="Cambria" w:hAnsi="Cambria"/>
          <w:i/>
          <w:iCs/>
        </w:rPr>
        <w:t xml:space="preserve"> </w:t>
      </w:r>
    </w:p>
    <w:p w14:paraId="419293BE" w14:textId="77777777" w:rsidR="00C52E31" w:rsidRPr="00A6355A" w:rsidRDefault="00C52E31" w:rsidP="00C52E31">
      <w:pPr>
        <w:ind w:right="-347"/>
        <w:rPr>
          <w:rFonts w:ascii="Cambria" w:hAnsi="Cambria"/>
          <w:color w:val="000000" w:themeColor="text1"/>
        </w:rPr>
      </w:pPr>
    </w:p>
    <w:p w14:paraId="2F3ABB5D" w14:textId="02615134" w:rsidR="00C52E31" w:rsidRPr="00A6355A" w:rsidRDefault="00C52E31" w:rsidP="00C52E31">
      <w:pPr>
        <w:ind w:right="-347"/>
        <w:rPr>
          <w:rFonts w:ascii="Cambria" w:hAnsi="Cambria"/>
          <w:color w:val="000000" w:themeColor="text1"/>
        </w:rPr>
      </w:pPr>
      <w:r w:rsidRPr="00A6355A">
        <w:rPr>
          <w:rFonts w:ascii="Cambria" w:hAnsi="Cambria"/>
          <w:color w:val="000000" w:themeColor="text1"/>
        </w:rPr>
        <w:t>To the VAD Independent Reviewers,  </w:t>
      </w:r>
    </w:p>
    <w:p w14:paraId="7B32A25E" w14:textId="24F0C4BE" w:rsidR="00C52E31" w:rsidRPr="00A6355A" w:rsidRDefault="00C52E31" w:rsidP="00C52E31">
      <w:pPr>
        <w:pBdr>
          <w:bottom w:val="single" w:sz="6" w:space="1" w:color="auto"/>
        </w:pBdr>
        <w:ind w:right="-347"/>
        <w:rPr>
          <w:rFonts w:ascii="Cambria" w:hAnsi="Cambria"/>
          <w:b/>
          <w:color w:val="000000" w:themeColor="text1"/>
        </w:rPr>
      </w:pPr>
      <w:r w:rsidRPr="00A6355A">
        <w:rPr>
          <w:rFonts w:ascii="Cambria" w:hAnsi="Cambria"/>
          <w:b/>
          <w:color w:val="000000" w:themeColor="text1"/>
        </w:rPr>
        <w:t xml:space="preserve">Re: </w:t>
      </w:r>
      <w:r w:rsidR="00AA58F1" w:rsidRPr="00A6355A">
        <w:rPr>
          <w:rFonts w:ascii="Cambria" w:hAnsi="Cambria"/>
          <w:b/>
          <w:i/>
          <w:iCs/>
          <w:color w:val="000000" w:themeColor="text1"/>
        </w:rPr>
        <w:t>Voluntary Assisted Dying Review</w:t>
      </w:r>
    </w:p>
    <w:p w14:paraId="608BEA34" w14:textId="77777777" w:rsidR="00C52E31" w:rsidRPr="00A6355A" w:rsidRDefault="00C52E31" w:rsidP="00C52E31">
      <w:pPr>
        <w:ind w:right="-347"/>
        <w:rPr>
          <w:rFonts w:ascii="Cambria" w:hAnsi="Cambria"/>
          <w:color w:val="000000" w:themeColor="text1"/>
        </w:rPr>
      </w:pPr>
    </w:p>
    <w:p w14:paraId="72A4C90B" w14:textId="1CB5F52E" w:rsidR="00C52E31" w:rsidRPr="001F1FD0" w:rsidRDefault="00C52E31" w:rsidP="00C52E31">
      <w:pPr>
        <w:pStyle w:val="NoSpacing"/>
        <w:jc w:val="both"/>
        <w:rPr>
          <w:color w:val="EE0000"/>
        </w:rPr>
      </w:pPr>
      <w:r w:rsidRPr="00A6355A">
        <w:rPr>
          <w:rFonts w:ascii="Cambria" w:hAnsi="Cambria" w:cs="Calibri"/>
          <w:color w:val="000000" w:themeColor="text1"/>
        </w:rPr>
        <w:t>Community Legal Centres Tasmania (CLC Tas)</w:t>
      </w:r>
      <w:r w:rsidRPr="00A6355A">
        <w:rPr>
          <w:rFonts w:ascii="Cambria" w:hAnsi="Cambria"/>
          <w:color w:val="000000" w:themeColor="text1"/>
        </w:rPr>
        <w:t xml:space="preserve"> welcomes the opportunity to provide comment on the</w:t>
      </w:r>
      <w:r w:rsidRPr="00A6355A">
        <w:rPr>
          <w:rFonts w:ascii="Cambria" w:hAnsi="Cambria"/>
          <w:i/>
          <w:iCs/>
          <w:color w:val="000000" w:themeColor="text1"/>
        </w:rPr>
        <w:t xml:space="preserve"> </w:t>
      </w:r>
      <w:r w:rsidRPr="00A6355A">
        <w:rPr>
          <w:rFonts w:ascii="Cambria" w:hAnsi="Cambria"/>
          <w:bCs/>
          <w:i/>
          <w:iCs/>
          <w:color w:val="000000" w:themeColor="text1"/>
        </w:rPr>
        <w:t xml:space="preserve">Voluntary Assisted Dying Independent Review </w:t>
      </w:r>
      <w:r w:rsidRPr="00A6355A">
        <w:rPr>
          <w:rFonts w:ascii="Cambria" w:hAnsi="Cambria"/>
          <w:iCs/>
          <w:color w:val="000000" w:themeColor="text1"/>
        </w:rPr>
        <w:t>(‘the Review).</w:t>
      </w:r>
      <w:r w:rsidRPr="00A6355A">
        <w:rPr>
          <w:rStyle w:val="FootnoteReference"/>
          <w:rFonts w:ascii="Cambria" w:eastAsiaTheme="majorEastAsia" w:hAnsi="Cambria"/>
          <w:iCs/>
          <w:color w:val="000000" w:themeColor="text1"/>
        </w:rPr>
        <w:footnoteReference w:id="1"/>
      </w:r>
      <w:r w:rsidR="00A33A25" w:rsidRPr="00A6355A">
        <w:rPr>
          <w:rFonts w:ascii="Cambria" w:hAnsi="Cambria"/>
          <w:iCs/>
          <w:color w:val="000000" w:themeColor="text1"/>
        </w:rPr>
        <w:t xml:space="preserve"> </w:t>
      </w:r>
      <w:r w:rsidR="004A3C76" w:rsidRPr="00A6355A">
        <w:rPr>
          <w:rFonts w:ascii="Cambria" w:hAnsi="Cambria"/>
          <w:iCs/>
          <w:color w:val="000000" w:themeColor="text1"/>
        </w:rPr>
        <w:t>The</w:t>
      </w:r>
      <w:r w:rsidR="00AA58F1" w:rsidRPr="00A6355A">
        <w:rPr>
          <w:rFonts w:ascii="Cambria" w:hAnsi="Cambria"/>
          <w:iCs/>
          <w:color w:val="000000" w:themeColor="text1"/>
        </w:rPr>
        <w:t xml:space="preserve"> commencement of the</w:t>
      </w:r>
      <w:r w:rsidR="004A3C76" w:rsidRPr="00A6355A">
        <w:rPr>
          <w:rFonts w:ascii="Cambria" w:hAnsi="Cambria"/>
          <w:iCs/>
          <w:color w:val="000000" w:themeColor="text1"/>
        </w:rPr>
        <w:t xml:space="preserve"> </w:t>
      </w:r>
      <w:r w:rsidR="004A3C76" w:rsidRPr="00A6355A">
        <w:rPr>
          <w:rFonts w:ascii="Cambria" w:hAnsi="Cambria"/>
          <w:i/>
          <w:color w:val="000000" w:themeColor="text1"/>
        </w:rPr>
        <w:t>End-of-Life Choices (Voluntary Assisted Dying) Act 2021</w:t>
      </w:r>
      <w:r w:rsidR="004A3C76" w:rsidRPr="00A6355A">
        <w:rPr>
          <w:rFonts w:ascii="Cambria" w:hAnsi="Cambria"/>
          <w:iCs/>
          <w:color w:val="000000" w:themeColor="text1"/>
        </w:rPr>
        <w:t xml:space="preserve"> (Tas) </w:t>
      </w:r>
      <w:r w:rsidR="00AA58F1" w:rsidRPr="00A6355A">
        <w:rPr>
          <w:rFonts w:ascii="Cambria" w:hAnsi="Cambria"/>
          <w:iCs/>
          <w:color w:val="000000" w:themeColor="text1"/>
        </w:rPr>
        <w:t xml:space="preserve">(‘the Act’) </w:t>
      </w:r>
      <w:r w:rsidR="004A3C76" w:rsidRPr="00A6355A">
        <w:rPr>
          <w:rFonts w:ascii="Cambria" w:hAnsi="Cambria"/>
          <w:iCs/>
          <w:color w:val="000000" w:themeColor="text1"/>
        </w:rPr>
        <w:t xml:space="preserve">has </w:t>
      </w:r>
      <w:r w:rsidR="00AA58F1" w:rsidRPr="00A6355A">
        <w:rPr>
          <w:rFonts w:ascii="Cambria" w:hAnsi="Cambria"/>
          <w:iCs/>
          <w:color w:val="000000" w:themeColor="text1"/>
        </w:rPr>
        <w:t xml:space="preserve">clarified the law, making it significantly </w:t>
      </w:r>
      <w:r w:rsidR="004A3C76" w:rsidRPr="00A6355A">
        <w:rPr>
          <w:rFonts w:ascii="Cambria" w:hAnsi="Cambria"/>
          <w:iCs/>
          <w:color w:val="000000" w:themeColor="text1"/>
        </w:rPr>
        <w:t>easier for person</w:t>
      </w:r>
      <w:r w:rsidR="00AA58F1" w:rsidRPr="00A6355A">
        <w:rPr>
          <w:rFonts w:ascii="Cambria" w:hAnsi="Cambria"/>
          <w:iCs/>
          <w:color w:val="000000" w:themeColor="text1"/>
        </w:rPr>
        <w:t xml:space="preserve">s </w:t>
      </w:r>
      <w:r w:rsidR="004A3C76" w:rsidRPr="00A6355A">
        <w:rPr>
          <w:rFonts w:ascii="Cambria" w:hAnsi="Cambria"/>
          <w:iCs/>
          <w:color w:val="000000" w:themeColor="text1"/>
        </w:rPr>
        <w:t>suffering from terminal medical condition</w:t>
      </w:r>
      <w:r w:rsidR="00AA58F1" w:rsidRPr="00A6355A">
        <w:rPr>
          <w:rFonts w:ascii="Cambria" w:hAnsi="Cambria"/>
          <w:iCs/>
          <w:color w:val="000000" w:themeColor="text1"/>
        </w:rPr>
        <w:t>s</w:t>
      </w:r>
      <w:r w:rsidR="004A3C76" w:rsidRPr="00A6355A">
        <w:rPr>
          <w:rFonts w:ascii="Cambria" w:hAnsi="Cambria"/>
          <w:iCs/>
          <w:color w:val="000000" w:themeColor="text1"/>
        </w:rPr>
        <w:t xml:space="preserve"> to legally </w:t>
      </w:r>
      <w:r w:rsidR="001F1FD0">
        <w:rPr>
          <w:rFonts w:ascii="Cambria" w:hAnsi="Cambria"/>
          <w:iCs/>
          <w:color w:val="000000" w:themeColor="text1"/>
        </w:rPr>
        <w:t xml:space="preserve">safely and compassionately choose to end their life. </w:t>
      </w:r>
      <w:r w:rsidR="00AA58F1" w:rsidRPr="00A6355A">
        <w:rPr>
          <w:rFonts w:ascii="Cambria" w:hAnsi="Cambria"/>
          <w:iCs/>
          <w:color w:val="000000" w:themeColor="text1"/>
        </w:rPr>
        <w:t>Nevertheless, t</w:t>
      </w:r>
      <w:r w:rsidR="004A3C76" w:rsidRPr="00A6355A">
        <w:rPr>
          <w:rFonts w:ascii="Cambria" w:hAnsi="Cambria"/>
          <w:iCs/>
          <w:color w:val="000000" w:themeColor="text1"/>
        </w:rPr>
        <w:t>he third anniversary</w:t>
      </w:r>
      <w:r w:rsidR="00AA58F1" w:rsidRPr="00A6355A">
        <w:rPr>
          <w:rFonts w:ascii="Cambria" w:hAnsi="Cambria"/>
          <w:iCs/>
          <w:color w:val="000000" w:themeColor="text1"/>
        </w:rPr>
        <w:t xml:space="preserve"> of the Act </w:t>
      </w:r>
      <w:r w:rsidR="004A3C76" w:rsidRPr="00A6355A">
        <w:rPr>
          <w:rFonts w:ascii="Cambria" w:hAnsi="Cambria"/>
          <w:iCs/>
          <w:color w:val="000000" w:themeColor="text1"/>
        </w:rPr>
        <w:t xml:space="preserve">provides an opportunity </w:t>
      </w:r>
      <w:r w:rsidR="00AA58F1" w:rsidRPr="00A6355A">
        <w:rPr>
          <w:rFonts w:ascii="Cambria" w:hAnsi="Cambria"/>
          <w:iCs/>
          <w:color w:val="000000" w:themeColor="text1"/>
        </w:rPr>
        <w:t xml:space="preserve">for review and </w:t>
      </w:r>
      <w:r w:rsidR="00AB7B3E" w:rsidRPr="00A6355A">
        <w:rPr>
          <w:rFonts w:ascii="Cambria" w:hAnsi="Cambria"/>
          <w:iCs/>
          <w:color w:val="000000" w:themeColor="text1"/>
        </w:rPr>
        <w:t>to</w:t>
      </w:r>
      <w:r w:rsidR="00AA58F1" w:rsidRPr="00A6355A">
        <w:rPr>
          <w:rFonts w:ascii="Cambria" w:hAnsi="Cambria"/>
          <w:iCs/>
          <w:color w:val="000000" w:themeColor="text1"/>
        </w:rPr>
        <w:t xml:space="preserve"> consider how the Act could be improved. </w:t>
      </w:r>
    </w:p>
    <w:p w14:paraId="4377B70C" w14:textId="77777777" w:rsidR="008F250D" w:rsidRPr="00A6355A" w:rsidRDefault="008F250D" w:rsidP="00C52E31">
      <w:pPr>
        <w:pStyle w:val="NoSpacing"/>
        <w:jc w:val="both"/>
        <w:rPr>
          <w:rFonts w:ascii="Cambria" w:hAnsi="Cambria"/>
          <w:iCs/>
          <w:color w:val="000000" w:themeColor="text1"/>
        </w:rPr>
      </w:pPr>
    </w:p>
    <w:p w14:paraId="7059987B" w14:textId="77777777" w:rsidR="008F250D" w:rsidRPr="00A6355A" w:rsidRDefault="008F250D" w:rsidP="008F250D">
      <w:pPr>
        <w:pStyle w:val="NoSpacing"/>
        <w:jc w:val="both"/>
        <w:rPr>
          <w:rFonts w:ascii="Cambria" w:hAnsi="Cambria" w:cs="Arial"/>
          <w:color w:val="000000" w:themeColor="text1"/>
        </w:rPr>
      </w:pPr>
      <w:r w:rsidRPr="00A6355A">
        <w:rPr>
          <w:rFonts w:ascii="Cambria" w:hAnsi="Cambria" w:cs="Arial"/>
          <w:color w:val="000000" w:themeColor="text1"/>
        </w:rPr>
        <w:t xml:space="preserve">CLC Tas is the peak body representing the interests of nine community legal centres (CLCs) located throughout Tasmania. We are a member-based, independent, not-for-profit and incorporated organisation that advocates for law reform on a range of public interest matters aimed at improving access to justice, reducing discrimination and protecting and promoting human rights. </w:t>
      </w:r>
    </w:p>
    <w:p w14:paraId="5F3F9518" w14:textId="77777777" w:rsidR="008F250D" w:rsidRPr="00A6355A" w:rsidRDefault="008F250D" w:rsidP="008F250D">
      <w:pPr>
        <w:pStyle w:val="NoSpacing"/>
        <w:jc w:val="both"/>
        <w:rPr>
          <w:rFonts w:ascii="Cambria" w:hAnsi="Cambria" w:cs="Arial"/>
          <w:color w:val="000000" w:themeColor="text1"/>
        </w:rPr>
      </w:pPr>
    </w:p>
    <w:p w14:paraId="73A48295" w14:textId="77777777" w:rsidR="001F1FD0" w:rsidRPr="001F1FD0" w:rsidRDefault="001F1FD0" w:rsidP="00954F91">
      <w:pPr>
        <w:pStyle w:val="NoSpacing"/>
        <w:jc w:val="both"/>
        <w:rPr>
          <w:rFonts w:ascii="Cambria" w:hAnsi="Cambria"/>
          <w:b/>
        </w:rPr>
      </w:pPr>
      <w:r w:rsidRPr="001F1FD0">
        <w:rPr>
          <w:rFonts w:ascii="Cambria" w:hAnsi="Cambria"/>
          <w:b/>
        </w:rPr>
        <w:t>T</w:t>
      </w:r>
      <w:r w:rsidRPr="001F1FD0">
        <w:rPr>
          <w:rFonts w:ascii="Cambria" w:hAnsi="Cambria"/>
          <w:b/>
        </w:rPr>
        <w:t xml:space="preserve">he voluntary assisted dying navigation service </w:t>
      </w:r>
    </w:p>
    <w:p w14:paraId="461EC3F7" w14:textId="59A6EB7A" w:rsidR="008F250D" w:rsidRPr="00A6355A" w:rsidRDefault="008F250D" w:rsidP="00954F91">
      <w:pPr>
        <w:pStyle w:val="NoSpacing"/>
        <w:jc w:val="both"/>
        <w:rPr>
          <w:rFonts w:ascii="Cambria" w:hAnsi="Cambria" w:cs="Arial"/>
          <w:color w:val="000000" w:themeColor="text1"/>
        </w:rPr>
      </w:pPr>
      <w:r w:rsidRPr="00A6355A">
        <w:rPr>
          <w:rFonts w:ascii="Cambria" w:hAnsi="Cambria" w:cs="Arial"/>
          <w:color w:val="000000" w:themeColor="text1"/>
        </w:rPr>
        <w:t>The number of Tasmanians accessing voluntary assisted dying has risen steadily</w:t>
      </w:r>
      <w:r w:rsidR="00C00E40" w:rsidRPr="00A6355A">
        <w:rPr>
          <w:rFonts w:ascii="Cambria" w:hAnsi="Cambria" w:cs="Arial"/>
          <w:color w:val="000000" w:themeColor="text1"/>
        </w:rPr>
        <w:t xml:space="preserve"> over the last three years with a four-fold increase in both the number of participants obtaining </w:t>
      </w:r>
      <w:r w:rsidR="00A6355A">
        <w:rPr>
          <w:rFonts w:ascii="Cambria" w:hAnsi="Cambria" w:cs="Arial"/>
          <w:color w:val="000000" w:themeColor="text1"/>
        </w:rPr>
        <w:t>VAD Substance A</w:t>
      </w:r>
      <w:r w:rsidR="00C00E40" w:rsidRPr="00A6355A">
        <w:rPr>
          <w:rFonts w:ascii="Cambria" w:hAnsi="Cambria" w:cs="Arial"/>
          <w:color w:val="000000" w:themeColor="text1"/>
        </w:rPr>
        <w:t>uthorisation as well as the number of participants dying following administration of the VAD substance</w:t>
      </w:r>
      <w:r w:rsidRPr="00A6355A">
        <w:rPr>
          <w:rFonts w:ascii="Cambria" w:hAnsi="Cambria" w:cs="Arial"/>
          <w:color w:val="000000" w:themeColor="text1"/>
        </w:rPr>
        <w:t xml:space="preserve">. </w:t>
      </w:r>
    </w:p>
    <w:p w14:paraId="21AE7918" w14:textId="7E72BEC6" w:rsidR="00C00E40" w:rsidRDefault="00590C22" w:rsidP="00590C22">
      <w:pPr>
        <w:pStyle w:val="NormalWeb"/>
        <w:spacing w:before="0" w:beforeAutospacing="0" w:after="0" w:afterAutospacing="0"/>
        <w:jc w:val="center"/>
        <w:rPr>
          <w:rFonts w:ascii="Cambria" w:hAnsi="Cambria"/>
          <w:b/>
        </w:rPr>
      </w:pPr>
      <w:r>
        <w:rPr>
          <w:noProof/>
          <w14:ligatures w14:val="standardContextual"/>
        </w:rPr>
        <w:lastRenderedPageBreak/>
        <w:drawing>
          <wp:inline distT="0" distB="0" distL="0" distR="0" wp14:anchorId="130DB07D" wp14:editId="24CC8D57">
            <wp:extent cx="4572000" cy="2743200"/>
            <wp:effectExtent l="0" t="0" r="12700" b="12700"/>
            <wp:docPr id="955764072" name="Chart 1">
              <a:extLst xmlns:a="http://schemas.openxmlformats.org/drawingml/2006/main">
                <a:ext uri="{FF2B5EF4-FFF2-40B4-BE49-F238E27FC236}">
                  <a16:creationId xmlns:a16="http://schemas.microsoft.com/office/drawing/2014/main" id="{FDE433EB-91EB-E7FE-4418-51C94EFF5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4B5B1E" w14:textId="77777777" w:rsidR="00590C22" w:rsidRPr="008F250D" w:rsidRDefault="00590C22" w:rsidP="00590C22">
      <w:pPr>
        <w:ind w:left="851"/>
        <w:jc w:val="both"/>
        <w:rPr>
          <w:rFonts w:ascii="Cambria" w:hAnsi="Cambria"/>
          <w:sz w:val="20"/>
          <w:szCs w:val="20"/>
        </w:rPr>
      </w:pPr>
      <w:r w:rsidRPr="008F250D">
        <w:rPr>
          <w:rFonts w:ascii="Cambria" w:hAnsi="Cambria"/>
          <w:sz w:val="20"/>
          <w:szCs w:val="20"/>
        </w:rPr>
        <w:t>Source: Voluntary Assisted Dying Annual Reports 2022</w:t>
      </w:r>
      <w:r>
        <w:rPr>
          <w:rFonts w:ascii="Cambria" w:hAnsi="Cambria"/>
          <w:sz w:val="20"/>
          <w:szCs w:val="20"/>
        </w:rPr>
        <w:t>/23 - 2024</w:t>
      </w:r>
      <w:r w:rsidRPr="008F250D">
        <w:rPr>
          <w:rFonts w:ascii="Cambria" w:hAnsi="Cambria"/>
          <w:sz w:val="20"/>
          <w:szCs w:val="20"/>
        </w:rPr>
        <w:t xml:space="preserve">/25 </w:t>
      </w:r>
    </w:p>
    <w:p w14:paraId="71F327D0" w14:textId="77777777" w:rsidR="00590C22" w:rsidRDefault="00590C22" w:rsidP="00E14DC3">
      <w:pPr>
        <w:pStyle w:val="NormalWeb"/>
        <w:spacing w:before="0" w:beforeAutospacing="0" w:after="0" w:afterAutospacing="0"/>
        <w:jc w:val="both"/>
        <w:rPr>
          <w:rFonts w:ascii="Cambria" w:hAnsi="Cambria"/>
          <w:b/>
        </w:rPr>
      </w:pPr>
    </w:p>
    <w:p w14:paraId="65EBF5BA" w14:textId="64E65BAD" w:rsidR="00D4088E" w:rsidRDefault="001C3929" w:rsidP="00E14DC3">
      <w:pPr>
        <w:pStyle w:val="NormalWeb"/>
        <w:spacing w:before="0" w:beforeAutospacing="0" w:after="0" w:afterAutospacing="0"/>
        <w:jc w:val="both"/>
        <w:rPr>
          <w:rFonts w:ascii="Cambria" w:hAnsi="Cambria"/>
          <w:bCs/>
        </w:rPr>
      </w:pPr>
      <w:r>
        <w:rPr>
          <w:rFonts w:ascii="Cambria" w:hAnsi="Cambria"/>
          <w:bCs/>
        </w:rPr>
        <w:t xml:space="preserve">The </w:t>
      </w:r>
      <w:r w:rsidR="00FE6AB4">
        <w:rPr>
          <w:rFonts w:ascii="Cambria" w:hAnsi="Cambria"/>
          <w:bCs/>
        </w:rPr>
        <w:t xml:space="preserve">four-fold </w:t>
      </w:r>
      <w:r>
        <w:rPr>
          <w:rFonts w:ascii="Cambria" w:hAnsi="Cambria"/>
          <w:bCs/>
        </w:rPr>
        <w:t>surge</w:t>
      </w:r>
      <w:r w:rsidR="00FE6AB4">
        <w:rPr>
          <w:rFonts w:ascii="Cambria" w:hAnsi="Cambria"/>
          <w:bCs/>
        </w:rPr>
        <w:t xml:space="preserve"> in </w:t>
      </w:r>
      <w:r w:rsidR="00954F91">
        <w:rPr>
          <w:rFonts w:ascii="Cambria" w:hAnsi="Cambria"/>
          <w:bCs/>
        </w:rPr>
        <w:t xml:space="preserve">VAD substance authorisations </w:t>
      </w:r>
      <w:r w:rsidR="00FE6AB4">
        <w:rPr>
          <w:rFonts w:ascii="Cambria" w:hAnsi="Cambria"/>
          <w:bCs/>
        </w:rPr>
        <w:t xml:space="preserve">points to a significant increase in </w:t>
      </w:r>
      <w:r>
        <w:rPr>
          <w:rFonts w:ascii="Cambria" w:hAnsi="Cambria"/>
          <w:bCs/>
        </w:rPr>
        <w:t xml:space="preserve">the workload of the </w:t>
      </w:r>
      <w:r w:rsidRPr="00954F91">
        <w:rPr>
          <w:rFonts w:ascii="Cambria" w:hAnsi="Cambria"/>
          <w:bCs/>
        </w:rPr>
        <w:t>voluntary assisted dying navigation service</w:t>
      </w:r>
      <w:r>
        <w:rPr>
          <w:rFonts w:ascii="Cambria" w:hAnsi="Cambria"/>
          <w:bCs/>
        </w:rPr>
        <w:t xml:space="preserve"> (‘the service’) including </w:t>
      </w:r>
      <w:r w:rsidR="00FE6AB4">
        <w:rPr>
          <w:rFonts w:ascii="Cambria" w:hAnsi="Cambria"/>
          <w:bCs/>
        </w:rPr>
        <w:t>both intake calls and contact visits.</w:t>
      </w:r>
      <w:r w:rsidR="00D4088E">
        <w:rPr>
          <w:rFonts w:ascii="Cambria" w:hAnsi="Cambria"/>
          <w:bCs/>
        </w:rPr>
        <w:t xml:space="preserve"> However, </w:t>
      </w:r>
      <w:r w:rsidR="00954F91">
        <w:rPr>
          <w:rFonts w:ascii="Cambria" w:hAnsi="Cambria"/>
          <w:bCs/>
        </w:rPr>
        <w:t xml:space="preserve">it is our understanding that </w:t>
      </w:r>
      <w:r w:rsidR="00954F91" w:rsidRPr="00954F91">
        <w:rPr>
          <w:rFonts w:ascii="Cambria" w:hAnsi="Cambria"/>
          <w:bCs/>
        </w:rPr>
        <w:t>there has been no increase in the staffing levels of the</w:t>
      </w:r>
      <w:r w:rsidR="00954F91">
        <w:rPr>
          <w:rFonts w:ascii="Cambria" w:hAnsi="Cambria"/>
          <w:bCs/>
        </w:rPr>
        <w:t xml:space="preserve"> </w:t>
      </w:r>
      <w:r w:rsidR="00954F91" w:rsidRPr="00954F91">
        <w:rPr>
          <w:rFonts w:ascii="Cambria" w:hAnsi="Cambria"/>
          <w:bCs/>
        </w:rPr>
        <w:t>service since its inception. Given the significant increase in its workload, we strongly recommend that consideration be given to an increase in FTE staff levels</w:t>
      </w:r>
      <w:r w:rsidR="006727DE">
        <w:rPr>
          <w:rFonts w:ascii="Cambria" w:hAnsi="Cambria"/>
          <w:bCs/>
        </w:rPr>
        <w:t xml:space="preserve"> to ensure sustainable workloads</w:t>
      </w:r>
      <w:r w:rsidR="00954F91" w:rsidRPr="00954F91">
        <w:rPr>
          <w:rFonts w:ascii="Cambria" w:hAnsi="Cambria"/>
          <w:bCs/>
        </w:rPr>
        <w:t xml:space="preserve">. </w:t>
      </w:r>
    </w:p>
    <w:p w14:paraId="779F3EA7" w14:textId="77777777" w:rsidR="00A6355A" w:rsidRDefault="00A6355A" w:rsidP="00E14DC3">
      <w:pPr>
        <w:pStyle w:val="NormalWeb"/>
        <w:spacing w:before="0" w:beforeAutospacing="0" w:after="0" w:afterAutospacing="0"/>
        <w:jc w:val="both"/>
        <w:rPr>
          <w:rFonts w:ascii="Cambria" w:hAnsi="Cambria"/>
          <w:bCs/>
        </w:rPr>
      </w:pPr>
    </w:p>
    <w:p w14:paraId="58E458E2" w14:textId="6DA07296" w:rsidR="00A6355A" w:rsidRPr="00A6355A" w:rsidRDefault="00A6355A" w:rsidP="00A6355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ambria" w:hAnsi="Cambria"/>
          <w:b/>
        </w:rPr>
      </w:pPr>
      <w:r w:rsidRPr="00A6355A">
        <w:rPr>
          <w:rFonts w:ascii="Cambria" w:hAnsi="Cambria"/>
          <w:b/>
        </w:rPr>
        <w:t>Recommendation</w:t>
      </w:r>
    </w:p>
    <w:p w14:paraId="4B84A94D" w14:textId="1E149D61" w:rsidR="00A6355A" w:rsidRDefault="00A6355A" w:rsidP="00A6355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ambria" w:hAnsi="Cambria"/>
          <w:bCs/>
        </w:rPr>
      </w:pPr>
      <w:r>
        <w:rPr>
          <w:rFonts w:ascii="Cambria" w:hAnsi="Cambria"/>
          <w:bCs/>
        </w:rPr>
        <w:t>That consideration be given to</w:t>
      </w:r>
      <w:r w:rsidR="001C3929">
        <w:rPr>
          <w:rFonts w:ascii="Cambria" w:hAnsi="Cambria"/>
          <w:bCs/>
        </w:rPr>
        <w:t xml:space="preserve"> </w:t>
      </w:r>
      <w:r>
        <w:rPr>
          <w:rFonts w:ascii="Cambria" w:hAnsi="Cambria"/>
          <w:bCs/>
        </w:rPr>
        <w:t xml:space="preserve">an increase in FTE staff levels within the </w:t>
      </w:r>
      <w:r w:rsidRPr="00954F91">
        <w:rPr>
          <w:rFonts w:ascii="Cambria" w:hAnsi="Cambria"/>
          <w:bCs/>
        </w:rPr>
        <w:t>voluntary assisted dying navigation service</w:t>
      </w:r>
      <w:r w:rsidR="001C3929">
        <w:rPr>
          <w:rFonts w:ascii="Cambria" w:hAnsi="Cambria"/>
          <w:bCs/>
        </w:rPr>
        <w:t>.</w:t>
      </w:r>
      <w:r>
        <w:rPr>
          <w:rFonts w:ascii="Cambria" w:hAnsi="Cambria"/>
          <w:bCs/>
        </w:rPr>
        <w:t xml:space="preserve"> </w:t>
      </w:r>
    </w:p>
    <w:p w14:paraId="0EC92309" w14:textId="77777777" w:rsidR="00D4088E" w:rsidRDefault="00D4088E" w:rsidP="00E14DC3">
      <w:pPr>
        <w:pStyle w:val="NormalWeb"/>
        <w:spacing w:before="0" w:beforeAutospacing="0" w:after="0" w:afterAutospacing="0"/>
        <w:jc w:val="both"/>
        <w:rPr>
          <w:rFonts w:ascii="Cambria" w:hAnsi="Cambria"/>
          <w:bCs/>
        </w:rPr>
      </w:pPr>
    </w:p>
    <w:p w14:paraId="3E047460" w14:textId="283EDDA1" w:rsidR="00E14DC3" w:rsidRPr="00D4088E" w:rsidRDefault="00CC58C7" w:rsidP="00E14DC3">
      <w:pPr>
        <w:pStyle w:val="NormalWeb"/>
        <w:spacing w:before="0" w:beforeAutospacing="0" w:after="0" w:afterAutospacing="0"/>
        <w:jc w:val="both"/>
        <w:rPr>
          <w:rFonts w:ascii="Cambria" w:hAnsi="Cambria"/>
          <w:bCs/>
        </w:rPr>
      </w:pPr>
      <w:r>
        <w:rPr>
          <w:rFonts w:ascii="Cambria" w:hAnsi="Cambria"/>
          <w:b/>
        </w:rPr>
        <w:t>Relevant medical condition</w:t>
      </w:r>
    </w:p>
    <w:p w14:paraId="3CCD82BA" w14:textId="77777777" w:rsidR="001C3929" w:rsidRDefault="00CC58C7" w:rsidP="00D4088E">
      <w:pPr>
        <w:jc w:val="both"/>
        <w:rPr>
          <w:rFonts w:ascii="Cambria" w:hAnsi="Cambria"/>
        </w:rPr>
      </w:pPr>
      <w:r w:rsidRPr="00CC58C7">
        <w:rPr>
          <w:rFonts w:ascii="Cambria" w:hAnsi="Cambria"/>
        </w:rPr>
        <w:t xml:space="preserve">Eligibility for Voluntary Assisted Dying </w:t>
      </w:r>
      <w:r w:rsidR="00F30F3B">
        <w:rPr>
          <w:rFonts w:ascii="Cambria" w:hAnsi="Cambria"/>
        </w:rPr>
        <w:t xml:space="preserve">in Tasmania </w:t>
      </w:r>
      <w:r w:rsidRPr="00CC58C7">
        <w:rPr>
          <w:rFonts w:ascii="Cambria" w:hAnsi="Cambria"/>
        </w:rPr>
        <w:t>currently requires that a person have an advanced, incurable, and irreversible disease, illness, injury, or medical condition that is expected to cause their death within six months, or within 12 months if the condition is neurodegenerative.</w:t>
      </w:r>
      <w:r w:rsidRPr="00CC58C7">
        <w:rPr>
          <w:rStyle w:val="FootnoteReference"/>
          <w:rFonts w:ascii="Cambria" w:hAnsi="Cambria"/>
        </w:rPr>
        <w:footnoteReference w:id="2"/>
      </w:r>
      <w:r w:rsidRPr="00CC58C7">
        <w:rPr>
          <w:rFonts w:ascii="Cambria" w:hAnsi="Cambria"/>
        </w:rPr>
        <w:t xml:space="preserve"> </w:t>
      </w:r>
    </w:p>
    <w:p w14:paraId="7925CFA4" w14:textId="77777777" w:rsidR="001C3929" w:rsidRDefault="001C3929" w:rsidP="00D4088E">
      <w:pPr>
        <w:jc w:val="both"/>
        <w:rPr>
          <w:rFonts w:ascii="Cambria" w:hAnsi="Cambria"/>
        </w:rPr>
      </w:pPr>
    </w:p>
    <w:p w14:paraId="4A7C038F" w14:textId="3F9A82F6" w:rsidR="00D4088E" w:rsidRDefault="00762FBE" w:rsidP="00D4088E">
      <w:pPr>
        <w:jc w:val="both"/>
        <w:rPr>
          <w:rFonts w:ascii="Cambria" w:hAnsi="Cambria"/>
        </w:rPr>
      </w:pPr>
      <w:r>
        <w:rPr>
          <w:rFonts w:ascii="Cambria" w:hAnsi="Cambria"/>
        </w:rPr>
        <w:t>In Queensland, there is a standard 12-month prognosis requirement regardless of whether the participant has a disease, illness, injury or medical condition or the condition is neurodegenerative</w:t>
      </w:r>
      <w:r>
        <w:rPr>
          <w:rFonts w:ascii="Cambria" w:hAnsi="Cambria"/>
        </w:rPr>
        <w:t>.</w:t>
      </w:r>
      <w:r>
        <w:rPr>
          <w:rStyle w:val="FootnoteReference"/>
          <w:rFonts w:ascii="Cambria" w:hAnsi="Cambria"/>
        </w:rPr>
        <w:footnoteReference w:id="3"/>
      </w:r>
      <w:r>
        <w:rPr>
          <w:rFonts w:ascii="Cambria" w:hAnsi="Cambria"/>
        </w:rPr>
        <w:t xml:space="preserve"> </w:t>
      </w:r>
      <w:r w:rsidR="001C3929">
        <w:rPr>
          <w:rFonts w:ascii="Cambria" w:hAnsi="Cambria"/>
        </w:rPr>
        <w:t xml:space="preserve">Until recently, </w:t>
      </w:r>
      <w:r w:rsidR="00D4088E">
        <w:rPr>
          <w:rFonts w:ascii="Cambria" w:hAnsi="Cambria"/>
        </w:rPr>
        <w:t>Victoria had the same 6</w:t>
      </w:r>
      <w:r w:rsidR="001C3929">
        <w:rPr>
          <w:rFonts w:ascii="Cambria" w:hAnsi="Cambria"/>
        </w:rPr>
        <w:t>-12</w:t>
      </w:r>
      <w:r w:rsidR="00D4088E">
        <w:rPr>
          <w:rFonts w:ascii="Cambria" w:hAnsi="Cambria"/>
        </w:rPr>
        <w:t xml:space="preserve">-month prognosis requirement </w:t>
      </w:r>
      <w:r>
        <w:rPr>
          <w:rFonts w:ascii="Cambria" w:hAnsi="Cambria"/>
        </w:rPr>
        <w:t xml:space="preserve">as Tasmania </w:t>
      </w:r>
      <w:r w:rsidR="00D4088E">
        <w:rPr>
          <w:rFonts w:ascii="Cambria" w:hAnsi="Cambria"/>
        </w:rPr>
        <w:t xml:space="preserve">with the </w:t>
      </w:r>
      <w:r>
        <w:rPr>
          <w:rFonts w:ascii="Cambria" w:hAnsi="Cambria"/>
        </w:rPr>
        <w:t xml:space="preserve">Victorian </w:t>
      </w:r>
      <w:r w:rsidR="00D4088E" w:rsidRPr="00B05B0F">
        <w:rPr>
          <w:rFonts w:ascii="Cambria" w:hAnsi="Cambria"/>
        </w:rPr>
        <w:t>Voluntary Assisted Dying Review Board</w:t>
      </w:r>
      <w:r w:rsidR="00D4088E">
        <w:rPr>
          <w:rFonts w:ascii="Cambria" w:hAnsi="Cambria"/>
        </w:rPr>
        <w:t xml:space="preserve"> noting its concern that the short timeframe meant that some applicants were dying before a permit could be issued:</w:t>
      </w:r>
      <w:r w:rsidR="00D4088E">
        <w:rPr>
          <w:rStyle w:val="FootnoteReference"/>
          <w:rFonts w:ascii="Cambria" w:hAnsi="Cambria"/>
        </w:rPr>
        <w:footnoteReference w:id="4"/>
      </w:r>
    </w:p>
    <w:p w14:paraId="45DC6986" w14:textId="77777777" w:rsidR="00D4088E" w:rsidRDefault="00D4088E" w:rsidP="00D4088E">
      <w:pPr>
        <w:jc w:val="both"/>
        <w:rPr>
          <w:rFonts w:ascii="Cambria" w:hAnsi="Cambria"/>
        </w:rPr>
      </w:pPr>
    </w:p>
    <w:p w14:paraId="33C90CED" w14:textId="77777777" w:rsidR="00D4088E" w:rsidRPr="00F30F3B" w:rsidRDefault="00D4088E" w:rsidP="00D4088E">
      <w:pPr>
        <w:ind w:left="720"/>
        <w:jc w:val="both"/>
        <w:rPr>
          <w:rFonts w:ascii="Cambria" w:hAnsi="Cambria"/>
          <w:i/>
          <w:iCs/>
        </w:rPr>
      </w:pPr>
      <w:r w:rsidRPr="00F30F3B">
        <w:rPr>
          <w:rFonts w:ascii="Cambria" w:hAnsi="Cambria"/>
          <w:i/>
          <w:iCs/>
        </w:rPr>
        <w:lastRenderedPageBreak/>
        <w:t xml:space="preserve">During 2024–25, 171 applicants died before receiving a permit. </w:t>
      </w:r>
      <w:proofErr w:type="gramStart"/>
      <w:r w:rsidRPr="00F30F3B">
        <w:rPr>
          <w:rFonts w:ascii="Cambria" w:hAnsi="Cambria"/>
          <w:i/>
          <w:iCs/>
        </w:rPr>
        <w:t>The majority of</w:t>
      </w:r>
      <w:proofErr w:type="gramEnd"/>
      <w:r w:rsidRPr="00F30F3B">
        <w:rPr>
          <w:rFonts w:ascii="Cambria" w:hAnsi="Cambria"/>
          <w:i/>
          <w:iCs/>
        </w:rPr>
        <w:t xml:space="preserve"> these applicants had only completed a first or consulting assessment before their death.</w:t>
      </w:r>
    </w:p>
    <w:p w14:paraId="4301B25E" w14:textId="77777777" w:rsidR="00D4088E" w:rsidRPr="00F30F3B" w:rsidRDefault="00D4088E" w:rsidP="00D4088E">
      <w:pPr>
        <w:ind w:left="720"/>
        <w:jc w:val="both"/>
        <w:rPr>
          <w:rFonts w:ascii="Cambria" w:hAnsi="Cambria"/>
          <w:i/>
          <w:iCs/>
        </w:rPr>
      </w:pPr>
      <w:r w:rsidRPr="00F30F3B">
        <w:rPr>
          <w:rFonts w:ascii="Cambria" w:hAnsi="Cambria"/>
          <w:i/>
          <w:iCs/>
        </w:rPr>
        <w:t xml:space="preserve">Additionally, 28% of applications were withdrawn before the substance was dispensed, and in 40% of these cases, the applicant died within 2 weeks of their first request. </w:t>
      </w:r>
    </w:p>
    <w:p w14:paraId="3324AAEC" w14:textId="77777777" w:rsidR="00D4088E" w:rsidRPr="00F30F3B" w:rsidRDefault="00D4088E" w:rsidP="00D4088E">
      <w:pPr>
        <w:ind w:left="720"/>
        <w:jc w:val="both"/>
        <w:rPr>
          <w:rFonts w:ascii="Cambria" w:hAnsi="Cambria"/>
          <w:i/>
          <w:iCs/>
        </w:rPr>
      </w:pPr>
    </w:p>
    <w:p w14:paraId="20BDF35B" w14:textId="77777777" w:rsidR="00D4088E" w:rsidRPr="00F30F3B" w:rsidRDefault="00D4088E" w:rsidP="00D4088E">
      <w:pPr>
        <w:ind w:left="720"/>
        <w:jc w:val="both"/>
        <w:rPr>
          <w:rFonts w:ascii="Cambria" w:hAnsi="Cambria"/>
          <w:i/>
          <w:iCs/>
        </w:rPr>
      </w:pPr>
      <w:r w:rsidRPr="00F30F3B">
        <w:rPr>
          <w:rFonts w:ascii="Cambria" w:hAnsi="Cambria"/>
          <w:i/>
          <w:iCs/>
        </w:rPr>
        <w:t>This is consistent with what we have seen over the past 6 years. This pattern suggests that many patients begin the application process very late in the course of their illness. The Board remains concerned about the significant proportion of individuals who request VAD but die before they can access it.</w:t>
      </w:r>
    </w:p>
    <w:p w14:paraId="322DB8CF" w14:textId="77777777" w:rsidR="00D4088E" w:rsidRPr="00F30F3B" w:rsidRDefault="00D4088E" w:rsidP="00D4088E">
      <w:pPr>
        <w:ind w:left="720"/>
        <w:jc w:val="both"/>
        <w:rPr>
          <w:rFonts w:ascii="Cambria" w:hAnsi="Cambria"/>
          <w:i/>
          <w:iCs/>
        </w:rPr>
      </w:pPr>
    </w:p>
    <w:p w14:paraId="1F17B35E" w14:textId="77777777" w:rsidR="00D4088E" w:rsidRPr="00F30F3B" w:rsidRDefault="00D4088E" w:rsidP="00D4088E">
      <w:pPr>
        <w:ind w:left="720"/>
        <w:jc w:val="both"/>
        <w:rPr>
          <w:rFonts w:ascii="Cambria" w:hAnsi="Cambria"/>
          <w:i/>
          <w:iCs/>
        </w:rPr>
      </w:pPr>
      <w:r w:rsidRPr="00F30F3B">
        <w:rPr>
          <w:rFonts w:ascii="Cambria" w:hAnsi="Cambria"/>
          <w:i/>
          <w:iCs/>
        </w:rPr>
        <w:t>Several factors may contribute to this. Many people may underestimate the complexity and duration of the VAD process. They may expect to receive a prescription shortly after consulting their doctor. Others may delay initiating a request due to the emotional difficulty and time needed to confront a terminal diagnosis.</w:t>
      </w:r>
    </w:p>
    <w:p w14:paraId="28473682" w14:textId="77777777" w:rsidR="00444603" w:rsidRDefault="00444603" w:rsidP="00E14DC3">
      <w:pPr>
        <w:jc w:val="both"/>
        <w:rPr>
          <w:rFonts w:ascii="Cambria" w:hAnsi="Cambria"/>
        </w:rPr>
      </w:pPr>
    </w:p>
    <w:p w14:paraId="4614948E" w14:textId="16016E31" w:rsidR="00F30F3B" w:rsidRPr="00F30F3B" w:rsidRDefault="00D4088E" w:rsidP="00D4088E">
      <w:pPr>
        <w:jc w:val="both"/>
        <w:rPr>
          <w:rFonts w:ascii="Cambria" w:hAnsi="Cambria"/>
          <w:i/>
          <w:iCs/>
        </w:rPr>
      </w:pPr>
      <w:r>
        <w:rPr>
          <w:rFonts w:ascii="Cambria" w:hAnsi="Cambria"/>
        </w:rPr>
        <w:t xml:space="preserve">Taking on board the </w:t>
      </w:r>
      <w:r w:rsidRPr="00B05B0F">
        <w:rPr>
          <w:rFonts w:ascii="Cambria" w:hAnsi="Cambria"/>
        </w:rPr>
        <w:t>Voluntary Assisted Dying Review Board</w:t>
      </w:r>
      <w:r>
        <w:rPr>
          <w:rFonts w:ascii="Cambria" w:hAnsi="Cambria"/>
        </w:rPr>
        <w:t xml:space="preserve">’s concerns, the Victorian Parliament recently </w:t>
      </w:r>
      <w:r w:rsidR="00B845FE">
        <w:rPr>
          <w:rFonts w:ascii="Cambria" w:hAnsi="Cambria"/>
        </w:rPr>
        <w:t>pass</w:t>
      </w:r>
      <w:r>
        <w:rPr>
          <w:rFonts w:ascii="Cambria" w:hAnsi="Cambria"/>
        </w:rPr>
        <w:t>ed</w:t>
      </w:r>
      <w:r w:rsidR="00B845FE">
        <w:rPr>
          <w:rFonts w:ascii="Cambria" w:hAnsi="Cambria"/>
        </w:rPr>
        <w:t xml:space="preserve"> an amendment Bill</w:t>
      </w:r>
      <w:r>
        <w:rPr>
          <w:rFonts w:ascii="Cambria" w:hAnsi="Cambria"/>
        </w:rPr>
        <w:t xml:space="preserve"> with </w:t>
      </w:r>
      <w:r w:rsidR="00B845FE">
        <w:rPr>
          <w:rFonts w:ascii="Cambria" w:hAnsi="Cambria"/>
        </w:rPr>
        <w:t>a consistent 12-month</w:t>
      </w:r>
      <w:r w:rsidR="001C3929">
        <w:rPr>
          <w:rFonts w:ascii="Cambria" w:hAnsi="Cambria"/>
        </w:rPr>
        <w:t xml:space="preserve"> prognosis requirement</w:t>
      </w:r>
      <w:r w:rsidR="00B845FE">
        <w:rPr>
          <w:rFonts w:ascii="Cambria" w:hAnsi="Cambria"/>
        </w:rPr>
        <w:t xml:space="preserve"> now in place for all applicants</w:t>
      </w:r>
      <w:r>
        <w:rPr>
          <w:rFonts w:ascii="Cambria" w:hAnsi="Cambria"/>
        </w:rPr>
        <w:t>.</w:t>
      </w:r>
      <w:r w:rsidR="005D7D01">
        <w:rPr>
          <w:rStyle w:val="FootnoteReference"/>
          <w:rFonts w:ascii="Cambria" w:hAnsi="Cambria"/>
        </w:rPr>
        <w:footnoteReference w:id="5"/>
      </w:r>
      <w:r>
        <w:rPr>
          <w:rFonts w:ascii="Cambria" w:hAnsi="Cambria"/>
        </w:rPr>
        <w:t xml:space="preserve"> </w:t>
      </w:r>
    </w:p>
    <w:p w14:paraId="370473AF" w14:textId="77777777" w:rsidR="00F30F3B" w:rsidRDefault="00F30F3B" w:rsidP="00E14DC3">
      <w:pPr>
        <w:jc w:val="both"/>
        <w:rPr>
          <w:rFonts w:ascii="Cambria" w:hAnsi="Cambria"/>
        </w:rPr>
      </w:pPr>
    </w:p>
    <w:p w14:paraId="055E8BCC" w14:textId="067F713B" w:rsidR="00A155D2" w:rsidRDefault="00A33A25" w:rsidP="00A155D2">
      <w:pPr>
        <w:jc w:val="both"/>
        <w:rPr>
          <w:rFonts w:ascii="Cambria" w:hAnsi="Cambria"/>
        </w:rPr>
      </w:pPr>
      <w:r>
        <w:rPr>
          <w:rFonts w:ascii="Cambria" w:hAnsi="Cambria"/>
        </w:rPr>
        <w:t>In Tasmania, the number of participants eligible at First Request but d</w:t>
      </w:r>
      <w:r w:rsidR="001C3929">
        <w:rPr>
          <w:rFonts w:ascii="Cambria" w:hAnsi="Cambria"/>
        </w:rPr>
        <w:t>ying</w:t>
      </w:r>
      <w:r>
        <w:rPr>
          <w:rFonts w:ascii="Cambria" w:hAnsi="Cambria"/>
        </w:rPr>
        <w:t xml:space="preserve"> before being issued a VAD Substance Authorisation has risen four-fold as the following </w:t>
      </w:r>
      <w:r w:rsidR="001C3929">
        <w:rPr>
          <w:rFonts w:ascii="Cambria" w:hAnsi="Cambria"/>
        </w:rPr>
        <w:t>graph</w:t>
      </w:r>
      <w:r>
        <w:rPr>
          <w:rFonts w:ascii="Cambria" w:hAnsi="Cambria"/>
        </w:rPr>
        <w:t xml:space="preserve"> highlights. </w:t>
      </w:r>
    </w:p>
    <w:p w14:paraId="31129BB4" w14:textId="77777777" w:rsidR="00A155D2" w:rsidRDefault="00A155D2" w:rsidP="00A155D2">
      <w:pPr>
        <w:jc w:val="both"/>
        <w:rPr>
          <w:rFonts w:ascii="Cambria" w:hAnsi="Cambria"/>
        </w:rPr>
      </w:pPr>
    </w:p>
    <w:p w14:paraId="219421E7" w14:textId="5A691F0A" w:rsidR="00A155D2" w:rsidRDefault="00A155D2" w:rsidP="00A155D2">
      <w:pPr>
        <w:jc w:val="center"/>
        <w:rPr>
          <w:rFonts w:ascii="Cambria" w:hAnsi="Cambria"/>
        </w:rPr>
      </w:pPr>
      <w:r>
        <w:rPr>
          <w:rFonts w:ascii="Cambria" w:hAnsi="Cambria"/>
          <w:noProof/>
          <w14:ligatures w14:val="standardContextual"/>
        </w:rPr>
        <w:drawing>
          <wp:inline distT="0" distB="0" distL="0" distR="0" wp14:anchorId="0DD898BB" wp14:editId="4967E618">
            <wp:extent cx="4608946" cy="2733964"/>
            <wp:effectExtent l="0" t="0" r="13970" b="9525"/>
            <wp:docPr id="175449496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89713A" w14:textId="77777777" w:rsidR="00A155D2" w:rsidRPr="008F250D" w:rsidRDefault="00A155D2" w:rsidP="00A155D2">
      <w:pPr>
        <w:ind w:left="851"/>
        <w:jc w:val="both"/>
        <w:rPr>
          <w:rFonts w:ascii="Cambria" w:hAnsi="Cambria"/>
          <w:sz w:val="20"/>
          <w:szCs w:val="20"/>
        </w:rPr>
      </w:pPr>
      <w:r w:rsidRPr="008F250D">
        <w:rPr>
          <w:rFonts w:ascii="Cambria" w:hAnsi="Cambria"/>
          <w:sz w:val="20"/>
          <w:szCs w:val="20"/>
        </w:rPr>
        <w:t>Source: Voluntary Assisted Dying Annual Reports 2022</w:t>
      </w:r>
      <w:r>
        <w:rPr>
          <w:rFonts w:ascii="Cambria" w:hAnsi="Cambria"/>
          <w:sz w:val="20"/>
          <w:szCs w:val="20"/>
        </w:rPr>
        <w:t>/23 - 2024</w:t>
      </w:r>
      <w:r w:rsidRPr="008F250D">
        <w:rPr>
          <w:rFonts w:ascii="Cambria" w:hAnsi="Cambria"/>
          <w:sz w:val="20"/>
          <w:szCs w:val="20"/>
        </w:rPr>
        <w:t xml:space="preserve">/25 </w:t>
      </w:r>
    </w:p>
    <w:p w14:paraId="691E43FA" w14:textId="77777777" w:rsidR="00A155D2" w:rsidRDefault="00A155D2" w:rsidP="00A155D2">
      <w:pPr>
        <w:jc w:val="both"/>
        <w:rPr>
          <w:rFonts w:ascii="Cambria" w:hAnsi="Cambria"/>
        </w:rPr>
      </w:pPr>
    </w:p>
    <w:p w14:paraId="2E001643" w14:textId="77777777" w:rsidR="004E7234" w:rsidRDefault="005C5990" w:rsidP="00A155D2">
      <w:pPr>
        <w:jc w:val="both"/>
        <w:rPr>
          <w:rFonts w:ascii="Cambria" w:hAnsi="Cambria"/>
        </w:rPr>
      </w:pPr>
      <w:r w:rsidRPr="005C5990">
        <w:rPr>
          <w:rFonts w:ascii="Cambria" w:hAnsi="Cambria"/>
        </w:rPr>
        <w:t xml:space="preserve">Although the population of Victoria (7.07M) is about </w:t>
      </w:r>
      <w:r w:rsidR="00A6355A">
        <w:rPr>
          <w:rFonts w:ascii="Cambria" w:hAnsi="Cambria"/>
        </w:rPr>
        <w:t>twelve</w:t>
      </w:r>
      <w:r w:rsidRPr="005C5990">
        <w:rPr>
          <w:rFonts w:ascii="Cambria" w:hAnsi="Cambria"/>
        </w:rPr>
        <w:t xml:space="preserve"> times larger than Tasmania’s population (576,000), only about </w:t>
      </w:r>
      <w:r w:rsidR="00A6355A">
        <w:rPr>
          <w:rFonts w:ascii="Cambria" w:hAnsi="Cambria"/>
        </w:rPr>
        <w:t>six</w:t>
      </w:r>
      <w:r w:rsidRPr="005C5990">
        <w:rPr>
          <w:rFonts w:ascii="Cambria" w:hAnsi="Cambria"/>
        </w:rPr>
        <w:t xml:space="preserve"> times as many people died before receiving a voluntary assisted dying permit</w:t>
      </w:r>
      <w:r w:rsidR="001C3929">
        <w:rPr>
          <w:rFonts w:ascii="Cambria" w:hAnsi="Cambria"/>
        </w:rPr>
        <w:t>/Substance Authorisation</w:t>
      </w:r>
      <w:r w:rsidRPr="005C5990">
        <w:rPr>
          <w:rFonts w:ascii="Cambria" w:hAnsi="Cambria"/>
        </w:rPr>
        <w:t xml:space="preserve"> (171 in Victoria versus 28 in </w:t>
      </w:r>
      <w:r w:rsidRPr="005C5990">
        <w:rPr>
          <w:rFonts w:ascii="Cambria" w:hAnsi="Cambria"/>
        </w:rPr>
        <w:lastRenderedPageBreak/>
        <w:t>Tasmania). Adjusting for population size, Tasmania therefore had a substantially higher rate of people dying before a VAD Substance Authorisation was issued.</w:t>
      </w:r>
      <w:r>
        <w:rPr>
          <w:rFonts w:ascii="Cambria" w:hAnsi="Cambria"/>
        </w:rPr>
        <w:t xml:space="preserve"> Expressed in another way,</w:t>
      </w:r>
      <w:r w:rsidRPr="005C5990">
        <w:rPr>
          <w:rFonts w:ascii="Cambria" w:hAnsi="Cambria"/>
        </w:rPr>
        <w:t xml:space="preserve"> </w:t>
      </w:r>
      <w:r>
        <w:rPr>
          <w:rFonts w:ascii="Cambria" w:hAnsi="Cambria"/>
        </w:rPr>
        <w:t xml:space="preserve">in 2024-25 </w:t>
      </w:r>
      <w:r w:rsidRPr="005C5990">
        <w:rPr>
          <w:rFonts w:ascii="Cambria" w:hAnsi="Cambria"/>
        </w:rPr>
        <w:t xml:space="preserve">if Tasmania had experienced the same per-capita rate as Victoria, it would have recorded </w:t>
      </w:r>
      <w:r>
        <w:rPr>
          <w:rFonts w:ascii="Cambria" w:hAnsi="Cambria"/>
        </w:rPr>
        <w:t>around</w:t>
      </w:r>
      <w:r w:rsidRPr="005C5990">
        <w:rPr>
          <w:rFonts w:ascii="Cambria" w:hAnsi="Cambria"/>
        </w:rPr>
        <w:t xml:space="preserve"> 14 such deaths rather than 28. This suggests that, relative to its population, Tasmanians were around twice as likely as Victorians to die before receiving a permit.</w:t>
      </w:r>
      <w:r w:rsidR="00A6355A">
        <w:rPr>
          <w:rStyle w:val="FootnoteReference"/>
          <w:rFonts w:ascii="Cambria" w:hAnsi="Cambria"/>
        </w:rPr>
        <w:footnoteReference w:id="6"/>
      </w:r>
      <w:r w:rsidR="004E7234">
        <w:rPr>
          <w:rFonts w:ascii="Cambria" w:hAnsi="Cambria"/>
        </w:rPr>
        <w:t xml:space="preserve"> </w:t>
      </w:r>
    </w:p>
    <w:p w14:paraId="6AB5DB33" w14:textId="77777777" w:rsidR="006727DE" w:rsidRDefault="006727DE" w:rsidP="00A155D2">
      <w:pPr>
        <w:jc w:val="both"/>
        <w:rPr>
          <w:rFonts w:ascii="Cambria" w:hAnsi="Cambria"/>
        </w:rPr>
      </w:pPr>
    </w:p>
    <w:p w14:paraId="300F5BFE" w14:textId="1F12AACC" w:rsidR="002562AB" w:rsidRDefault="006727DE" w:rsidP="002562AB">
      <w:pPr>
        <w:jc w:val="both"/>
        <w:rPr>
          <w:rFonts w:ascii="Cambria" w:hAnsi="Cambria"/>
        </w:rPr>
      </w:pPr>
      <w:r>
        <w:rPr>
          <w:rFonts w:ascii="Cambria" w:hAnsi="Cambria"/>
        </w:rPr>
        <w:t xml:space="preserve">To ensure that </w:t>
      </w:r>
      <w:r w:rsidR="00CA1E7F">
        <w:rPr>
          <w:rFonts w:ascii="Cambria" w:hAnsi="Cambria"/>
        </w:rPr>
        <w:t>Tasmanian participants</w:t>
      </w:r>
      <w:r>
        <w:rPr>
          <w:rFonts w:ascii="Cambria" w:hAnsi="Cambria"/>
        </w:rPr>
        <w:t xml:space="preserve"> have access to VAD when they need it, we strongly recommend an amendment to the Act so that there is a consistent 12-month prognosis requirement for all applicants.</w:t>
      </w:r>
      <w:r w:rsidR="002562AB">
        <w:rPr>
          <w:rFonts w:ascii="Cambria" w:hAnsi="Cambria"/>
        </w:rPr>
        <w:t xml:space="preserve"> A</w:t>
      </w:r>
      <w:r w:rsidR="002562AB">
        <w:rPr>
          <w:rFonts w:ascii="Cambria" w:hAnsi="Cambria"/>
        </w:rPr>
        <w:t xml:space="preserve"> standardised 12-month prognosis </w:t>
      </w:r>
      <w:r w:rsidR="002562AB">
        <w:rPr>
          <w:rFonts w:ascii="Cambria" w:hAnsi="Cambria"/>
        </w:rPr>
        <w:t>has the added advantage</w:t>
      </w:r>
      <w:r w:rsidR="002562AB">
        <w:rPr>
          <w:rFonts w:ascii="Cambria" w:hAnsi="Cambria"/>
        </w:rPr>
        <w:t xml:space="preserve"> that urgency is reduced for participants living in regional, remote and rural areas of Tasmania who face increased travel challenges in complying with the requisite legislative requirements.   </w:t>
      </w:r>
    </w:p>
    <w:p w14:paraId="083D8731" w14:textId="2A2F1F90" w:rsidR="00593071" w:rsidRDefault="006727DE" w:rsidP="00A155D2">
      <w:pPr>
        <w:jc w:val="both"/>
        <w:rPr>
          <w:rFonts w:ascii="Cambria" w:hAnsi="Cambria"/>
        </w:rPr>
      </w:pPr>
      <w:r>
        <w:rPr>
          <w:rFonts w:ascii="Cambria" w:hAnsi="Cambria"/>
        </w:rPr>
        <w:t xml:space="preserve">  </w:t>
      </w:r>
    </w:p>
    <w:p w14:paraId="074C46DE" w14:textId="11B5DCDA" w:rsidR="00593071" w:rsidRPr="00593071" w:rsidRDefault="00593071" w:rsidP="00593071">
      <w:pPr>
        <w:pBdr>
          <w:top w:val="single" w:sz="4" w:space="1" w:color="auto"/>
          <w:left w:val="single" w:sz="4" w:space="4" w:color="auto"/>
          <w:bottom w:val="single" w:sz="4" w:space="1" w:color="auto"/>
          <w:right w:val="single" w:sz="4" w:space="4" w:color="auto"/>
        </w:pBdr>
        <w:jc w:val="both"/>
        <w:rPr>
          <w:rFonts w:ascii="Cambria" w:hAnsi="Cambria"/>
          <w:b/>
          <w:bCs/>
        </w:rPr>
      </w:pPr>
      <w:r w:rsidRPr="00593071">
        <w:rPr>
          <w:rFonts w:ascii="Cambria" w:hAnsi="Cambria"/>
          <w:b/>
          <w:bCs/>
        </w:rPr>
        <w:t>Recommendation:</w:t>
      </w:r>
    </w:p>
    <w:p w14:paraId="05D419C6" w14:textId="448EE56D" w:rsidR="00593071" w:rsidRPr="005C5990" w:rsidRDefault="003900F6" w:rsidP="00593071">
      <w:pPr>
        <w:pBdr>
          <w:top w:val="single" w:sz="4" w:space="1" w:color="auto"/>
          <w:left w:val="single" w:sz="4" w:space="4" w:color="auto"/>
          <w:bottom w:val="single" w:sz="4" w:space="1" w:color="auto"/>
          <w:right w:val="single" w:sz="4" w:space="4" w:color="auto"/>
        </w:pBdr>
        <w:jc w:val="both"/>
        <w:rPr>
          <w:rFonts w:ascii="Cambria" w:hAnsi="Cambria" w:cs="Arial"/>
        </w:rPr>
      </w:pPr>
      <w:r>
        <w:rPr>
          <w:rFonts w:ascii="Cambria" w:hAnsi="Cambria"/>
        </w:rPr>
        <w:t>S</w:t>
      </w:r>
      <w:r w:rsidR="00593071">
        <w:rPr>
          <w:rFonts w:ascii="Cambria" w:hAnsi="Cambria"/>
        </w:rPr>
        <w:t xml:space="preserve">ection 6 of the Act </w:t>
      </w:r>
      <w:r>
        <w:rPr>
          <w:rFonts w:ascii="Cambria" w:hAnsi="Cambria"/>
        </w:rPr>
        <w:t xml:space="preserve">be amended </w:t>
      </w:r>
      <w:r w:rsidR="00593071">
        <w:rPr>
          <w:rFonts w:ascii="Cambria" w:hAnsi="Cambria"/>
        </w:rPr>
        <w:t xml:space="preserve">so that there is a consistent 12-month prognosis requirement for all applicants. </w:t>
      </w:r>
    </w:p>
    <w:p w14:paraId="60454324" w14:textId="77777777" w:rsidR="005C5990" w:rsidRDefault="005C5990" w:rsidP="00A155D2">
      <w:pPr>
        <w:jc w:val="both"/>
        <w:rPr>
          <w:rFonts w:ascii="Cambria" w:hAnsi="Cambria" w:cs="Arial"/>
        </w:rPr>
      </w:pPr>
    </w:p>
    <w:p w14:paraId="0EE7044A" w14:textId="6E5F3C5A" w:rsidR="00F551A7" w:rsidRPr="003F7E0F" w:rsidRDefault="00F551A7" w:rsidP="003E56BC">
      <w:pPr>
        <w:jc w:val="both"/>
        <w:rPr>
          <w:rFonts w:ascii="Cambria" w:hAnsi="Cambria"/>
          <w:b/>
          <w:bCs/>
          <w:color w:val="000000" w:themeColor="text1"/>
        </w:rPr>
      </w:pPr>
      <w:r w:rsidRPr="003F7E0F">
        <w:rPr>
          <w:rFonts w:ascii="Cambria" w:hAnsi="Cambria"/>
          <w:b/>
          <w:bCs/>
          <w:color w:val="000000" w:themeColor="text1"/>
        </w:rPr>
        <w:t>Authorised medical practitioners</w:t>
      </w:r>
    </w:p>
    <w:p w14:paraId="691FB952" w14:textId="49DB9475" w:rsidR="008F4715" w:rsidRDefault="00593071" w:rsidP="003E56BC">
      <w:pPr>
        <w:jc w:val="both"/>
        <w:rPr>
          <w:rFonts w:ascii="Cambria" w:hAnsi="Cambria"/>
          <w:color w:val="000000" w:themeColor="text1"/>
        </w:rPr>
      </w:pPr>
      <w:r w:rsidRPr="003A1BF7">
        <w:rPr>
          <w:rFonts w:ascii="Cambria" w:hAnsi="Cambria"/>
          <w:color w:val="000000" w:themeColor="text1"/>
        </w:rPr>
        <w:t xml:space="preserve">Tasmania’s population is dispersed. According to the </w:t>
      </w:r>
      <w:r w:rsidR="00571F0E" w:rsidRPr="003A1BF7">
        <w:rPr>
          <w:rFonts w:ascii="Cambria" w:hAnsi="Cambria"/>
          <w:color w:val="000000" w:themeColor="text1"/>
        </w:rPr>
        <w:t xml:space="preserve">most recent Census, </w:t>
      </w:r>
      <w:proofErr w:type="gramStart"/>
      <w:r w:rsidR="00571F0E" w:rsidRPr="003A1BF7">
        <w:rPr>
          <w:rFonts w:ascii="Cambria" w:hAnsi="Cambria"/>
          <w:color w:val="000000" w:themeColor="text1"/>
        </w:rPr>
        <w:t>the majority</w:t>
      </w:r>
      <w:r w:rsidRPr="003A1BF7">
        <w:rPr>
          <w:rFonts w:ascii="Cambria" w:hAnsi="Cambria"/>
          <w:color w:val="000000" w:themeColor="text1"/>
        </w:rPr>
        <w:t xml:space="preserve"> of</w:t>
      </w:r>
      <w:proofErr w:type="gramEnd"/>
      <w:r w:rsidRPr="003A1BF7">
        <w:rPr>
          <w:rFonts w:ascii="Cambria" w:hAnsi="Cambria"/>
          <w:color w:val="000000" w:themeColor="text1"/>
        </w:rPr>
        <w:t xml:space="preserve"> Tasmania</w:t>
      </w:r>
      <w:r w:rsidR="00571F0E" w:rsidRPr="003A1BF7">
        <w:rPr>
          <w:rFonts w:ascii="Cambria" w:hAnsi="Cambria"/>
          <w:color w:val="000000" w:themeColor="text1"/>
        </w:rPr>
        <w:t>n</w:t>
      </w:r>
      <w:r w:rsidRPr="003A1BF7">
        <w:rPr>
          <w:rFonts w:ascii="Cambria" w:hAnsi="Cambria"/>
          <w:color w:val="000000" w:themeColor="text1"/>
        </w:rPr>
        <w:t xml:space="preserve">s </w:t>
      </w:r>
      <w:r w:rsidR="00571F0E" w:rsidRPr="003A1BF7">
        <w:rPr>
          <w:rFonts w:ascii="Cambria" w:hAnsi="Cambria"/>
          <w:color w:val="000000" w:themeColor="text1"/>
        </w:rPr>
        <w:t>do</w:t>
      </w:r>
      <w:r w:rsidRPr="003A1BF7">
        <w:rPr>
          <w:rFonts w:ascii="Cambria" w:hAnsi="Cambria"/>
          <w:color w:val="000000" w:themeColor="text1"/>
        </w:rPr>
        <w:t xml:space="preserve"> not live in Hobart.</w:t>
      </w:r>
      <w:r w:rsidRPr="003A1BF7">
        <w:rPr>
          <w:rStyle w:val="FootnoteReference"/>
          <w:rFonts w:ascii="Cambria" w:hAnsi="Cambria"/>
          <w:color w:val="000000" w:themeColor="text1"/>
        </w:rPr>
        <w:footnoteReference w:id="7"/>
      </w:r>
      <w:r w:rsidR="00A6355A" w:rsidRPr="003A1BF7">
        <w:rPr>
          <w:rFonts w:ascii="Cambria" w:hAnsi="Cambria"/>
          <w:color w:val="000000" w:themeColor="text1"/>
        </w:rPr>
        <w:t xml:space="preserve"> </w:t>
      </w:r>
      <w:r w:rsidR="00EA2123" w:rsidRPr="003A1BF7">
        <w:rPr>
          <w:rFonts w:ascii="Cambria" w:hAnsi="Cambria"/>
          <w:color w:val="000000" w:themeColor="text1"/>
        </w:rPr>
        <w:t>And yet,</w:t>
      </w:r>
      <w:r w:rsidR="003000A8">
        <w:rPr>
          <w:rFonts w:ascii="Cambria" w:hAnsi="Cambria"/>
          <w:color w:val="000000" w:themeColor="text1"/>
        </w:rPr>
        <w:t xml:space="preserve"> </w:t>
      </w:r>
      <w:r w:rsidR="003F7E0F">
        <w:rPr>
          <w:rFonts w:ascii="Cambria" w:hAnsi="Cambria"/>
          <w:color w:val="000000" w:themeColor="text1"/>
        </w:rPr>
        <w:t xml:space="preserve">it is our understanding </w:t>
      </w:r>
      <w:r w:rsidR="00571F0E" w:rsidRPr="003A1BF7">
        <w:rPr>
          <w:rFonts w:ascii="Cambria" w:hAnsi="Cambria"/>
          <w:color w:val="000000" w:themeColor="text1"/>
        </w:rPr>
        <w:t>that there are no</w:t>
      </w:r>
      <w:r w:rsidR="00EA2123" w:rsidRPr="003A1BF7">
        <w:rPr>
          <w:rFonts w:ascii="Cambria" w:hAnsi="Cambria"/>
          <w:color w:val="000000" w:themeColor="text1"/>
        </w:rPr>
        <w:t xml:space="preserve"> authorised medical practitioner</w:t>
      </w:r>
      <w:r w:rsidR="00571F0E" w:rsidRPr="003A1BF7">
        <w:rPr>
          <w:rFonts w:ascii="Cambria" w:hAnsi="Cambria"/>
          <w:color w:val="000000" w:themeColor="text1"/>
        </w:rPr>
        <w:t>s</w:t>
      </w:r>
      <w:r w:rsidR="00EA2123" w:rsidRPr="003A1BF7">
        <w:rPr>
          <w:rFonts w:ascii="Cambria" w:hAnsi="Cambria"/>
          <w:color w:val="000000" w:themeColor="text1"/>
        </w:rPr>
        <w:t xml:space="preserve"> </w:t>
      </w:r>
      <w:r w:rsidR="00571F0E" w:rsidRPr="003A1BF7">
        <w:rPr>
          <w:rFonts w:ascii="Cambria" w:hAnsi="Cambria"/>
          <w:color w:val="000000" w:themeColor="text1"/>
        </w:rPr>
        <w:t>located</w:t>
      </w:r>
      <w:r w:rsidR="00EA2123" w:rsidRPr="003A1BF7">
        <w:rPr>
          <w:rFonts w:ascii="Cambria" w:hAnsi="Cambria"/>
          <w:color w:val="000000" w:themeColor="text1"/>
        </w:rPr>
        <w:t xml:space="preserve"> in the Midlands, the North-East (between St Helens and Launceston) and Tasmania’s West Coast.</w:t>
      </w:r>
      <w:r w:rsidR="00CA1E7F">
        <w:rPr>
          <w:rFonts w:ascii="Cambria" w:hAnsi="Cambria"/>
          <w:color w:val="000000" w:themeColor="text1"/>
        </w:rPr>
        <w:t xml:space="preserve"> As well, anecdotally we are aware that even in bigger towns and cities such as Hobart there is a wait list of months to see an authorised medical practitioner. </w:t>
      </w:r>
    </w:p>
    <w:p w14:paraId="12E6A9FD" w14:textId="77777777" w:rsidR="008F4715" w:rsidRDefault="008F4715" w:rsidP="003E56BC">
      <w:pPr>
        <w:jc w:val="both"/>
        <w:rPr>
          <w:rFonts w:ascii="Cambria" w:hAnsi="Cambria"/>
          <w:color w:val="000000" w:themeColor="text1"/>
        </w:rPr>
      </w:pPr>
    </w:p>
    <w:p w14:paraId="44050F9F" w14:textId="3ED08BFD" w:rsidR="00D40150" w:rsidRPr="004E7234" w:rsidRDefault="008F4715" w:rsidP="008F4715">
      <w:pPr>
        <w:jc w:val="both"/>
        <w:rPr>
          <w:rFonts w:ascii="Cambria" w:hAnsi="Cambria"/>
          <w:color w:val="000000" w:themeColor="text1"/>
        </w:rPr>
      </w:pPr>
      <w:r w:rsidRPr="003A1BF7">
        <w:rPr>
          <w:rFonts w:ascii="Cambria" w:hAnsi="Cambria"/>
          <w:color w:val="000000" w:themeColor="text1"/>
        </w:rPr>
        <w:t xml:space="preserve">The lack of authorised medical practitioners means that participants, </w:t>
      </w:r>
      <w:r>
        <w:rPr>
          <w:rFonts w:ascii="Cambria" w:hAnsi="Cambria"/>
          <w:color w:val="000000" w:themeColor="text1"/>
        </w:rPr>
        <w:t>many of whom are</w:t>
      </w:r>
      <w:r w:rsidRPr="003A1BF7">
        <w:rPr>
          <w:rFonts w:ascii="Cambria" w:hAnsi="Cambria"/>
          <w:color w:val="000000" w:themeColor="text1"/>
        </w:rPr>
        <w:t xml:space="preserve"> unable to travel </w:t>
      </w:r>
      <w:r w:rsidR="00025A9E">
        <w:rPr>
          <w:rFonts w:ascii="Cambria" w:hAnsi="Cambria"/>
          <w:color w:val="000000" w:themeColor="text1"/>
        </w:rPr>
        <w:t>cannot</w:t>
      </w:r>
      <w:r w:rsidRPr="003A1BF7">
        <w:rPr>
          <w:rFonts w:ascii="Cambria" w:hAnsi="Cambria"/>
          <w:color w:val="000000" w:themeColor="text1"/>
        </w:rPr>
        <w:t xml:space="preserve"> make a First Request. Without a First Request, there can be no VAD authorisation</w:t>
      </w:r>
      <w:r w:rsidR="004E7234">
        <w:rPr>
          <w:rFonts w:ascii="Cambria" w:hAnsi="Cambria"/>
          <w:color w:val="000000" w:themeColor="text1"/>
        </w:rPr>
        <w:t xml:space="preserve">. </w:t>
      </w:r>
      <w:r w:rsidR="00F11889">
        <w:rPr>
          <w:rFonts w:ascii="Cambria" w:hAnsi="Cambria"/>
          <w:color w:val="000000" w:themeColor="text1"/>
        </w:rPr>
        <w:t xml:space="preserve">Reform is needed so that there are more accessible authorised medical practitioners. </w:t>
      </w:r>
    </w:p>
    <w:p w14:paraId="7EA13E9C" w14:textId="77777777" w:rsidR="008F4715" w:rsidRDefault="008F4715" w:rsidP="008F4715">
      <w:pPr>
        <w:jc w:val="both"/>
        <w:rPr>
          <w:rFonts w:ascii="Cambria" w:hAnsi="Cambria"/>
          <w:color w:val="000000" w:themeColor="text1"/>
        </w:rPr>
      </w:pPr>
    </w:p>
    <w:p w14:paraId="080D80E2" w14:textId="4947B28B" w:rsidR="00025A9E" w:rsidRPr="00025A9E" w:rsidRDefault="00025A9E" w:rsidP="00025A9E">
      <w:pPr>
        <w:pStyle w:val="ListParagraph"/>
        <w:numPr>
          <w:ilvl w:val="0"/>
          <w:numId w:val="34"/>
        </w:numPr>
        <w:jc w:val="both"/>
        <w:rPr>
          <w:rFonts w:ascii="Cambria" w:hAnsi="Cambria"/>
          <w:b/>
          <w:bCs/>
          <w:i/>
          <w:iCs/>
          <w:color w:val="000000" w:themeColor="text1"/>
        </w:rPr>
      </w:pPr>
      <w:r w:rsidRPr="00025A9E">
        <w:rPr>
          <w:rFonts w:ascii="Cambria" w:hAnsi="Cambria"/>
          <w:b/>
          <w:bCs/>
          <w:i/>
          <w:iCs/>
          <w:color w:val="000000" w:themeColor="text1"/>
        </w:rPr>
        <w:t>The threshold for authorised medical practitioners should be lowered</w:t>
      </w:r>
    </w:p>
    <w:p w14:paraId="585F29D8" w14:textId="7529B20C" w:rsidR="00427384" w:rsidRDefault="008F4715" w:rsidP="003E56BC">
      <w:pPr>
        <w:jc w:val="both"/>
        <w:rPr>
          <w:rFonts w:ascii="Cambria" w:hAnsi="Cambria"/>
        </w:rPr>
      </w:pPr>
      <w:r w:rsidRPr="003A1BF7">
        <w:rPr>
          <w:rFonts w:ascii="Cambria" w:hAnsi="Cambria"/>
          <w:color w:val="000000" w:themeColor="text1"/>
        </w:rPr>
        <w:t>The Act currently provides that an authorised medical practitioner must have “</w:t>
      </w:r>
      <w:r w:rsidRPr="003A1BF7">
        <w:rPr>
          <w:rFonts w:ascii="Cambria" w:hAnsi="Cambria"/>
        </w:rPr>
        <w:t>practised as a medical practitioner for at least 5 years after vocational registration as a general practitioner or after completing a fellowship with a specialist medical college”.</w:t>
      </w:r>
      <w:r w:rsidRPr="003A1BF7">
        <w:rPr>
          <w:rStyle w:val="FootnoteReference"/>
          <w:rFonts w:ascii="Cambria" w:hAnsi="Cambria"/>
        </w:rPr>
        <w:footnoteReference w:id="8"/>
      </w:r>
      <w:r w:rsidR="00427384">
        <w:rPr>
          <w:rFonts w:ascii="Cambria" w:hAnsi="Cambria"/>
        </w:rPr>
        <w:t xml:space="preserve"> This can be contrasted with Victoria where medical practitioners</w:t>
      </w:r>
      <w:r w:rsidR="00B7285C">
        <w:rPr>
          <w:rFonts w:ascii="Cambria" w:hAnsi="Cambria"/>
        </w:rPr>
        <w:t xml:space="preserve"> </w:t>
      </w:r>
      <w:r w:rsidR="00FA6243">
        <w:rPr>
          <w:rFonts w:ascii="Cambria" w:hAnsi="Cambria"/>
        </w:rPr>
        <w:t xml:space="preserve">must </w:t>
      </w:r>
      <w:r w:rsidR="00427384">
        <w:rPr>
          <w:rFonts w:ascii="Cambria" w:hAnsi="Cambria"/>
        </w:rPr>
        <w:t xml:space="preserve">either hold a fellowship with a specialist medical college or </w:t>
      </w:r>
      <w:r w:rsidR="00B7285C">
        <w:rPr>
          <w:rFonts w:ascii="Cambria" w:hAnsi="Cambria"/>
        </w:rPr>
        <w:t>are</w:t>
      </w:r>
      <w:r w:rsidR="00427384">
        <w:rPr>
          <w:rFonts w:ascii="Cambria" w:hAnsi="Cambria"/>
        </w:rPr>
        <w:t xml:space="preserve"> vocationally registered general practitioner</w:t>
      </w:r>
      <w:r w:rsidR="00B7285C">
        <w:rPr>
          <w:rFonts w:ascii="Cambria" w:hAnsi="Cambria"/>
        </w:rPr>
        <w:t>s</w:t>
      </w:r>
      <w:r w:rsidR="00427384">
        <w:rPr>
          <w:rFonts w:ascii="Cambria" w:hAnsi="Cambria"/>
        </w:rPr>
        <w:t>.</w:t>
      </w:r>
      <w:r w:rsidR="00FA6243">
        <w:rPr>
          <w:rStyle w:val="FootnoteReference"/>
          <w:rFonts w:ascii="Cambria" w:hAnsi="Cambria"/>
        </w:rPr>
        <w:footnoteReference w:id="9"/>
      </w:r>
      <w:r w:rsidR="00CA1E7F">
        <w:rPr>
          <w:rFonts w:ascii="Cambria" w:hAnsi="Cambria"/>
        </w:rPr>
        <w:t xml:space="preserve"> </w:t>
      </w:r>
      <w:r w:rsidR="00534C0E">
        <w:rPr>
          <w:rFonts w:ascii="Cambria" w:hAnsi="Cambria"/>
        </w:rPr>
        <w:t>Lowering the threshold for authorised medical practitioners by adopting</w:t>
      </w:r>
      <w:r w:rsidR="00F11889">
        <w:rPr>
          <w:rFonts w:ascii="Cambria" w:hAnsi="Cambria"/>
        </w:rPr>
        <w:t xml:space="preserve"> the Victorian </w:t>
      </w:r>
      <w:r w:rsidR="00F11889">
        <w:rPr>
          <w:rFonts w:ascii="Cambria" w:hAnsi="Cambria"/>
        </w:rPr>
        <w:lastRenderedPageBreak/>
        <w:t xml:space="preserve">standard may increase the number of authorised general practitioners and is recommended. </w:t>
      </w:r>
    </w:p>
    <w:p w14:paraId="21699D35" w14:textId="77777777" w:rsidR="00534C0E" w:rsidRDefault="00534C0E" w:rsidP="003E56BC">
      <w:pPr>
        <w:jc w:val="both"/>
        <w:rPr>
          <w:rFonts w:ascii="Cambria" w:hAnsi="Cambria"/>
        </w:rPr>
      </w:pPr>
    </w:p>
    <w:p w14:paraId="5F1CB3D2" w14:textId="16466A7C" w:rsidR="00534C0E" w:rsidRPr="00534C0E" w:rsidRDefault="00534C0E" w:rsidP="00534C0E">
      <w:pPr>
        <w:pBdr>
          <w:top w:val="single" w:sz="4" w:space="1" w:color="auto"/>
          <w:left w:val="single" w:sz="4" w:space="4" w:color="auto"/>
          <w:bottom w:val="single" w:sz="4" w:space="1" w:color="auto"/>
          <w:right w:val="single" w:sz="4" w:space="4" w:color="auto"/>
        </w:pBdr>
        <w:jc w:val="both"/>
        <w:rPr>
          <w:rFonts w:ascii="Cambria" w:hAnsi="Cambria"/>
          <w:b/>
          <w:bCs/>
        </w:rPr>
      </w:pPr>
      <w:r w:rsidRPr="00534C0E">
        <w:rPr>
          <w:rFonts w:ascii="Cambria" w:hAnsi="Cambria"/>
          <w:b/>
          <w:bCs/>
        </w:rPr>
        <w:t>Recommendation</w:t>
      </w:r>
    </w:p>
    <w:p w14:paraId="2AE9FAA5" w14:textId="5952D6A6" w:rsidR="00534C0E" w:rsidRPr="00534C0E" w:rsidRDefault="003900F6" w:rsidP="00534C0E">
      <w:pPr>
        <w:pBdr>
          <w:top w:val="single" w:sz="4" w:space="1" w:color="auto"/>
          <w:left w:val="single" w:sz="4" w:space="4" w:color="auto"/>
          <w:bottom w:val="single" w:sz="4" w:space="1" w:color="auto"/>
          <w:right w:val="single" w:sz="4" w:space="4" w:color="auto"/>
        </w:pBdr>
        <w:jc w:val="both"/>
        <w:rPr>
          <w:rFonts w:ascii="Cambria" w:hAnsi="Cambria"/>
        </w:rPr>
      </w:pPr>
      <w:r>
        <w:rPr>
          <w:rFonts w:ascii="Cambria" w:hAnsi="Cambria"/>
        </w:rPr>
        <w:t>T</w:t>
      </w:r>
      <w:r w:rsidR="00534C0E">
        <w:rPr>
          <w:rFonts w:ascii="Cambria" w:hAnsi="Cambria"/>
        </w:rPr>
        <w:t xml:space="preserve">hat the threshold requirement for an authorised medical practitioner be </w:t>
      </w:r>
      <w:r w:rsidR="001A44E5">
        <w:rPr>
          <w:rFonts w:ascii="Cambria" w:hAnsi="Cambria"/>
        </w:rPr>
        <w:t xml:space="preserve">lowered to </w:t>
      </w:r>
      <w:r w:rsidR="00534C0E">
        <w:rPr>
          <w:rFonts w:ascii="Cambria" w:hAnsi="Cambria"/>
        </w:rPr>
        <w:t xml:space="preserve">a vocationally registered general practitioner. </w:t>
      </w:r>
    </w:p>
    <w:p w14:paraId="59F94D9F" w14:textId="77777777" w:rsidR="00CC58C7" w:rsidRDefault="00CC58C7" w:rsidP="00E14DC3">
      <w:pPr>
        <w:jc w:val="both"/>
        <w:rPr>
          <w:rFonts w:ascii="Cambria" w:hAnsi="Cambria"/>
        </w:rPr>
      </w:pPr>
    </w:p>
    <w:p w14:paraId="4EB1A58F" w14:textId="3A2DC1AD" w:rsidR="007D3CBF" w:rsidRPr="0034418C" w:rsidRDefault="0034418C" w:rsidP="0034418C">
      <w:pPr>
        <w:pStyle w:val="NormalWeb"/>
        <w:numPr>
          <w:ilvl w:val="0"/>
          <w:numId w:val="34"/>
        </w:numPr>
        <w:spacing w:before="0" w:beforeAutospacing="0" w:after="0" w:afterAutospacing="0"/>
        <w:jc w:val="both"/>
        <w:rPr>
          <w:rFonts w:ascii="Cambria" w:hAnsi="Cambria"/>
          <w:b/>
          <w:bCs/>
          <w:i/>
          <w:iCs/>
          <w:color w:val="000000" w:themeColor="text1"/>
        </w:rPr>
      </w:pPr>
      <w:r w:rsidRPr="0034418C">
        <w:rPr>
          <w:rFonts w:ascii="Cambria" w:hAnsi="Cambria"/>
          <w:b/>
          <w:bCs/>
          <w:i/>
          <w:iCs/>
          <w:color w:val="000000" w:themeColor="text1"/>
        </w:rPr>
        <w:t>Broadening VAD</w:t>
      </w:r>
      <w:r w:rsidR="00391AEA">
        <w:rPr>
          <w:rFonts w:ascii="Cambria" w:hAnsi="Cambria"/>
          <w:b/>
          <w:bCs/>
          <w:i/>
          <w:iCs/>
          <w:color w:val="000000" w:themeColor="text1"/>
        </w:rPr>
        <w:t>-related</w:t>
      </w:r>
      <w:r w:rsidRPr="0034418C">
        <w:rPr>
          <w:rFonts w:ascii="Cambria" w:hAnsi="Cambria"/>
          <w:b/>
          <w:bCs/>
          <w:i/>
          <w:iCs/>
          <w:color w:val="000000" w:themeColor="text1"/>
        </w:rPr>
        <w:t xml:space="preserve"> communications beyond face-to-face</w:t>
      </w:r>
    </w:p>
    <w:p w14:paraId="1C496120" w14:textId="0AB6B1AB" w:rsidR="009F31E2" w:rsidRDefault="007D3CBF" w:rsidP="009F31E2">
      <w:pPr>
        <w:pStyle w:val="NormalWeb"/>
        <w:spacing w:before="0" w:beforeAutospacing="0" w:after="0" w:afterAutospacing="0"/>
        <w:jc w:val="both"/>
        <w:rPr>
          <w:rFonts w:ascii="Cambria" w:hAnsi="Cambria"/>
          <w:color w:val="000000" w:themeColor="text1"/>
        </w:rPr>
      </w:pPr>
      <w:r w:rsidRPr="007D3CBF">
        <w:rPr>
          <w:rFonts w:ascii="Cambria" w:hAnsi="Cambria"/>
          <w:color w:val="000000" w:themeColor="text1"/>
        </w:rPr>
        <w:t>Tasmania’s dispersed population</w:t>
      </w:r>
      <w:r>
        <w:rPr>
          <w:rFonts w:ascii="Cambria" w:hAnsi="Cambria"/>
          <w:color w:val="000000" w:themeColor="text1"/>
        </w:rPr>
        <w:t xml:space="preserve"> means that </w:t>
      </w:r>
      <w:r w:rsidR="0034418C">
        <w:rPr>
          <w:rFonts w:ascii="Cambria" w:hAnsi="Cambria"/>
          <w:color w:val="000000" w:themeColor="text1"/>
        </w:rPr>
        <w:t xml:space="preserve">communications with authorised medical practitioners </w:t>
      </w:r>
      <w:r w:rsidR="002562AB">
        <w:rPr>
          <w:rFonts w:ascii="Cambria" w:hAnsi="Cambria"/>
          <w:color w:val="000000" w:themeColor="text1"/>
        </w:rPr>
        <w:t xml:space="preserve">would be improved through the utilisation of </w:t>
      </w:r>
      <w:r>
        <w:rPr>
          <w:rFonts w:ascii="Cambria" w:hAnsi="Cambria"/>
          <w:color w:val="000000" w:themeColor="text1"/>
        </w:rPr>
        <w:t xml:space="preserve">telehealth </w:t>
      </w:r>
      <w:r w:rsidR="0034418C">
        <w:rPr>
          <w:rFonts w:ascii="Cambria" w:hAnsi="Cambria"/>
          <w:color w:val="000000" w:themeColor="text1"/>
        </w:rPr>
        <w:t xml:space="preserve">services </w:t>
      </w:r>
      <w:r>
        <w:rPr>
          <w:rFonts w:ascii="Cambria" w:hAnsi="Cambria"/>
          <w:color w:val="000000" w:themeColor="text1"/>
        </w:rPr>
        <w:t xml:space="preserve">(including telephone, email, video conferencing and smartphones). </w:t>
      </w:r>
      <w:r w:rsidR="002562AB">
        <w:rPr>
          <w:rFonts w:ascii="Cambria" w:hAnsi="Cambria"/>
          <w:color w:val="000000" w:themeColor="text1"/>
        </w:rPr>
        <w:t xml:space="preserve">This view is reinforced in the </w:t>
      </w:r>
      <w:r>
        <w:rPr>
          <w:rFonts w:ascii="Cambria" w:hAnsi="Cambria"/>
          <w:color w:val="000000" w:themeColor="text1"/>
        </w:rPr>
        <w:t>most recent Australian Bureau of Statistics data</w:t>
      </w:r>
      <w:r w:rsidR="002562AB">
        <w:rPr>
          <w:rFonts w:ascii="Cambria" w:hAnsi="Cambria"/>
          <w:color w:val="000000" w:themeColor="text1"/>
        </w:rPr>
        <w:t xml:space="preserve">, which </w:t>
      </w:r>
      <w:r>
        <w:rPr>
          <w:rFonts w:ascii="Cambria" w:hAnsi="Cambria"/>
          <w:color w:val="000000" w:themeColor="text1"/>
        </w:rPr>
        <w:t>report</w:t>
      </w:r>
      <w:r w:rsidR="002562AB">
        <w:rPr>
          <w:rFonts w:ascii="Cambria" w:hAnsi="Cambria"/>
          <w:color w:val="000000" w:themeColor="text1"/>
        </w:rPr>
        <w:t>ed</w:t>
      </w:r>
      <w:r>
        <w:rPr>
          <w:rFonts w:ascii="Cambria" w:hAnsi="Cambria"/>
          <w:color w:val="000000" w:themeColor="text1"/>
        </w:rPr>
        <w:t xml:space="preserve"> that </w:t>
      </w:r>
      <w:r w:rsidR="0034418C">
        <w:rPr>
          <w:rFonts w:ascii="Cambria" w:hAnsi="Cambria"/>
          <w:color w:val="000000" w:themeColor="text1"/>
        </w:rPr>
        <w:t xml:space="preserve">in 2024-25 </w:t>
      </w:r>
      <w:r>
        <w:rPr>
          <w:rFonts w:ascii="Cambria" w:hAnsi="Cambria"/>
          <w:color w:val="000000" w:themeColor="text1"/>
        </w:rPr>
        <w:t>almost one-quarter o</w:t>
      </w:r>
      <w:r w:rsidR="009F31E2">
        <w:rPr>
          <w:rFonts w:ascii="Cambria" w:hAnsi="Cambria"/>
          <w:color w:val="000000" w:themeColor="text1"/>
        </w:rPr>
        <w:t>f</w:t>
      </w:r>
      <w:r>
        <w:rPr>
          <w:rFonts w:ascii="Cambria" w:hAnsi="Cambria"/>
          <w:color w:val="000000" w:themeColor="text1"/>
        </w:rPr>
        <w:t xml:space="preserve"> Australians aged 15 years or over had at least one telehealth consultation</w:t>
      </w:r>
      <w:r w:rsidR="002562AB">
        <w:rPr>
          <w:rFonts w:ascii="Cambria" w:hAnsi="Cambria"/>
          <w:color w:val="000000" w:themeColor="text1"/>
        </w:rPr>
        <w:t>.</w:t>
      </w:r>
      <w:r w:rsidR="009F31E2">
        <w:rPr>
          <w:rStyle w:val="FootnoteReference"/>
          <w:rFonts w:ascii="Cambria" w:hAnsi="Cambria"/>
          <w:color w:val="000000" w:themeColor="text1"/>
        </w:rPr>
        <w:footnoteReference w:id="10"/>
      </w:r>
      <w:r>
        <w:rPr>
          <w:rFonts w:ascii="Cambria" w:hAnsi="Cambria"/>
          <w:color w:val="000000" w:themeColor="text1"/>
        </w:rPr>
        <w:t xml:space="preserve"> </w:t>
      </w:r>
      <w:r w:rsidR="002562AB">
        <w:rPr>
          <w:rFonts w:ascii="Cambria" w:hAnsi="Cambria"/>
          <w:color w:val="000000" w:themeColor="text1"/>
        </w:rPr>
        <w:t xml:space="preserve">However, following a recent Federal Court case, telehealth services are unable to be used for VAD-related communications. </w:t>
      </w:r>
      <w:r w:rsidR="009F31E2">
        <w:rPr>
          <w:rFonts w:ascii="Cambria" w:hAnsi="Cambria"/>
          <w:color w:val="000000" w:themeColor="text1"/>
        </w:rPr>
        <w:t xml:space="preserve"> </w:t>
      </w:r>
    </w:p>
    <w:p w14:paraId="4EE9B04B" w14:textId="77777777" w:rsidR="009F31E2" w:rsidRDefault="009F31E2" w:rsidP="009F31E2">
      <w:pPr>
        <w:pStyle w:val="NormalWeb"/>
        <w:spacing w:before="0" w:beforeAutospacing="0" w:after="0" w:afterAutospacing="0"/>
        <w:jc w:val="both"/>
        <w:rPr>
          <w:rFonts w:ascii="Cambria" w:hAnsi="Cambria"/>
          <w:color w:val="000000" w:themeColor="text1"/>
        </w:rPr>
      </w:pPr>
    </w:p>
    <w:p w14:paraId="1680AA1F" w14:textId="7E128A3D" w:rsidR="00DE1951" w:rsidRDefault="005C299E" w:rsidP="0034418C">
      <w:pPr>
        <w:pStyle w:val="NormalWeb"/>
        <w:spacing w:before="0" w:beforeAutospacing="0" w:after="0" w:afterAutospacing="0"/>
        <w:jc w:val="both"/>
        <w:rPr>
          <w:rFonts w:ascii="Cambria" w:hAnsi="Cambria"/>
        </w:rPr>
      </w:pPr>
      <w:r w:rsidRPr="009F31E2">
        <w:rPr>
          <w:rStyle w:val="Emphasis"/>
          <w:rFonts w:ascii="Cambria" w:hAnsi="Cambria" w:cs="Segoe UI"/>
          <w:i w:val="0"/>
          <w:iCs w:val="0"/>
        </w:rPr>
        <w:t>The</w:t>
      </w:r>
      <w:r w:rsidR="000E43AE" w:rsidRPr="009F31E2">
        <w:rPr>
          <w:rStyle w:val="Emphasis"/>
          <w:rFonts w:ascii="Cambria" w:hAnsi="Cambria" w:cs="Segoe UI"/>
          <w:i w:val="0"/>
          <w:iCs w:val="0"/>
        </w:rPr>
        <w:t xml:space="preserve"> Federal Court decision of</w:t>
      </w:r>
      <w:r w:rsidR="000E43AE" w:rsidRPr="009F31E2">
        <w:rPr>
          <w:rStyle w:val="Emphasis"/>
          <w:rFonts w:ascii="Cambria" w:hAnsi="Cambria" w:cs="Segoe UI"/>
        </w:rPr>
        <w:t xml:space="preserve"> </w:t>
      </w:r>
      <w:r w:rsidR="000E43AE" w:rsidRPr="009F31E2">
        <w:rPr>
          <w:rStyle w:val="Emphasis"/>
          <w:rFonts w:ascii="Cambria" w:hAnsi="Cambria" w:cs="Segoe UI"/>
        </w:rPr>
        <w:t>Carr v Attorney</w:t>
      </w:r>
      <w:r w:rsidR="000E43AE" w:rsidRPr="009F31E2">
        <w:rPr>
          <w:rStyle w:val="Emphasis"/>
          <w:rFonts w:ascii="Cambria" w:hAnsi="Cambria" w:cs="Segoe UI"/>
        </w:rPr>
        <w:noBreakHyphen/>
        <w:t>General (</w:t>
      </w:r>
      <w:proofErr w:type="spellStart"/>
      <w:r w:rsidR="000E43AE" w:rsidRPr="009F31E2">
        <w:rPr>
          <w:rStyle w:val="Emphasis"/>
          <w:rFonts w:ascii="Cambria" w:hAnsi="Cambria" w:cs="Segoe UI"/>
        </w:rPr>
        <w:t>Cth</w:t>
      </w:r>
      <w:proofErr w:type="spellEnd"/>
      <w:r w:rsidR="000E43AE" w:rsidRPr="009F31E2">
        <w:rPr>
          <w:rStyle w:val="Emphasis"/>
          <w:rFonts w:ascii="Cambria" w:hAnsi="Cambria" w:cs="Segoe UI"/>
        </w:rPr>
        <w:t>)</w:t>
      </w:r>
      <w:r w:rsidR="0081474D" w:rsidRPr="009F31E2">
        <w:rPr>
          <w:rStyle w:val="Emphasis"/>
          <w:rFonts w:ascii="Cambria" w:hAnsi="Cambria" w:cs="Segoe UI"/>
        </w:rPr>
        <w:t>,</w:t>
      </w:r>
      <w:r w:rsidR="000E43AE" w:rsidRPr="009F31E2">
        <w:rPr>
          <w:rStyle w:val="FootnoteReference"/>
          <w:rFonts w:ascii="Cambria" w:hAnsi="Cambria" w:cs="Segoe UI"/>
        </w:rPr>
        <w:footnoteReference w:id="11"/>
      </w:r>
      <w:r w:rsidR="000E43AE" w:rsidRPr="009F31E2">
        <w:rPr>
          <w:rStyle w:val="Emphasis"/>
          <w:rFonts w:ascii="Cambria" w:hAnsi="Cambria" w:cs="Segoe UI"/>
        </w:rPr>
        <w:t xml:space="preserve"> </w:t>
      </w:r>
      <w:r w:rsidRPr="009F31E2">
        <w:rPr>
          <w:rFonts w:ascii="Cambria" w:hAnsi="Cambria"/>
        </w:rPr>
        <w:t>concerned the interaction between</w:t>
      </w:r>
      <w:r w:rsidR="009F31E2" w:rsidRPr="009F31E2">
        <w:rPr>
          <w:rFonts w:ascii="Cambria" w:hAnsi="Cambria"/>
        </w:rPr>
        <w:t xml:space="preserve"> </w:t>
      </w:r>
      <w:r w:rsidRPr="009F31E2">
        <w:rPr>
          <w:rFonts w:ascii="Cambria" w:hAnsi="Cambria"/>
        </w:rPr>
        <w:t>Australia’s federal criminal law and state VAD regimes.</w:t>
      </w:r>
      <w:r w:rsidRPr="009F31E2">
        <w:rPr>
          <w:rStyle w:val="Emphasis"/>
          <w:rFonts w:ascii="Cambria" w:hAnsi="Cambria" w:cs="Segoe UI"/>
        </w:rPr>
        <w:t xml:space="preserve"> </w:t>
      </w:r>
      <w:r w:rsidR="0034418C">
        <w:rPr>
          <w:rStyle w:val="Emphasis"/>
          <w:rFonts w:ascii="Cambria" w:hAnsi="Cambria" w:cs="Segoe UI"/>
          <w:i w:val="0"/>
          <w:iCs w:val="0"/>
        </w:rPr>
        <w:t xml:space="preserve">The applicant, </w:t>
      </w:r>
      <w:r w:rsidR="0081474D" w:rsidRPr="009F31E2">
        <w:rPr>
          <w:rFonts w:ascii="Cambria" w:hAnsi="Cambria"/>
        </w:rPr>
        <w:t>a</w:t>
      </w:r>
      <w:r w:rsidR="00DE1951" w:rsidRPr="009F31E2">
        <w:rPr>
          <w:rFonts w:ascii="Cambria" w:hAnsi="Cambria"/>
        </w:rPr>
        <w:t>n</w:t>
      </w:r>
      <w:r w:rsidR="0081474D" w:rsidRPr="009F31E2">
        <w:rPr>
          <w:rFonts w:ascii="Cambria" w:hAnsi="Cambria"/>
        </w:rPr>
        <w:t xml:space="preserve"> </w:t>
      </w:r>
      <w:r w:rsidR="00DE1951" w:rsidRPr="009F31E2">
        <w:rPr>
          <w:rFonts w:ascii="Cambria" w:hAnsi="Cambria"/>
        </w:rPr>
        <w:t xml:space="preserve">authorised </w:t>
      </w:r>
      <w:r w:rsidR="0081474D" w:rsidRPr="009F31E2">
        <w:rPr>
          <w:rFonts w:ascii="Cambria" w:hAnsi="Cambria"/>
        </w:rPr>
        <w:t>medical practitioner</w:t>
      </w:r>
      <w:r w:rsidR="002562AB">
        <w:rPr>
          <w:rFonts w:ascii="Cambria" w:hAnsi="Cambria"/>
        </w:rPr>
        <w:t xml:space="preserve">, </w:t>
      </w:r>
      <w:r w:rsidR="0081474D" w:rsidRPr="009F31E2">
        <w:rPr>
          <w:rFonts w:ascii="Cambria" w:hAnsi="Cambria"/>
        </w:rPr>
        <w:t xml:space="preserve">sought a declaration that the term </w:t>
      </w:r>
      <w:r w:rsidR="0081474D" w:rsidRPr="009F31E2">
        <w:rPr>
          <w:rFonts w:ascii="Cambria" w:hAnsi="Cambria"/>
        </w:rPr>
        <w:t>‘</w:t>
      </w:r>
      <w:r w:rsidR="0081474D" w:rsidRPr="009F31E2">
        <w:rPr>
          <w:rFonts w:ascii="Cambria" w:hAnsi="Cambria"/>
        </w:rPr>
        <w:t>suicide</w:t>
      </w:r>
      <w:r w:rsidR="0081474D" w:rsidRPr="009F31E2">
        <w:rPr>
          <w:rFonts w:ascii="Cambria" w:hAnsi="Cambria"/>
        </w:rPr>
        <w:t>’</w:t>
      </w:r>
      <w:r w:rsidR="0081474D" w:rsidRPr="009F31E2">
        <w:rPr>
          <w:rFonts w:ascii="Cambria" w:hAnsi="Cambria"/>
        </w:rPr>
        <w:t xml:space="preserve"> in</w:t>
      </w:r>
      <w:r w:rsidR="00DE1951" w:rsidRPr="009F31E2">
        <w:rPr>
          <w:rFonts w:ascii="Cambria" w:hAnsi="Cambria"/>
        </w:rPr>
        <w:t xml:space="preserve"> the</w:t>
      </w:r>
      <w:r w:rsidR="0081474D" w:rsidRPr="009F31E2">
        <w:rPr>
          <w:rFonts w:ascii="Cambria" w:hAnsi="Cambria"/>
        </w:rPr>
        <w:t xml:space="preserve"> </w:t>
      </w:r>
      <w:r w:rsidR="0081474D" w:rsidRPr="009F31E2">
        <w:rPr>
          <w:rFonts w:ascii="Cambria" w:hAnsi="Cambria"/>
          <w:i/>
          <w:iCs/>
        </w:rPr>
        <w:t>Criminal Code Act 1995</w:t>
      </w:r>
      <w:r w:rsidR="0081474D" w:rsidRPr="009F31E2">
        <w:rPr>
          <w:rFonts w:ascii="Cambria" w:hAnsi="Cambria"/>
        </w:rPr>
        <w:t xml:space="preserve"> (</w:t>
      </w:r>
      <w:proofErr w:type="spellStart"/>
      <w:r w:rsidR="0081474D" w:rsidRPr="009F31E2">
        <w:rPr>
          <w:rFonts w:ascii="Cambria" w:hAnsi="Cambria"/>
        </w:rPr>
        <w:t>Cth</w:t>
      </w:r>
      <w:proofErr w:type="spellEnd"/>
      <w:r w:rsidR="0081474D" w:rsidRPr="009F31E2">
        <w:rPr>
          <w:rFonts w:ascii="Cambria" w:hAnsi="Cambria"/>
        </w:rPr>
        <w:t>)</w:t>
      </w:r>
      <w:r w:rsidR="0081474D" w:rsidRPr="009F31E2">
        <w:rPr>
          <w:rFonts w:ascii="Cambria" w:hAnsi="Cambria"/>
        </w:rPr>
        <w:t xml:space="preserve"> did</w:t>
      </w:r>
      <w:r w:rsidR="0081474D" w:rsidRPr="009F31E2">
        <w:rPr>
          <w:rFonts w:ascii="Cambria" w:hAnsi="Cambria"/>
        </w:rPr>
        <w:t xml:space="preserve"> not </w:t>
      </w:r>
      <w:r w:rsidR="0081474D" w:rsidRPr="009F31E2">
        <w:rPr>
          <w:rFonts w:ascii="Cambria" w:hAnsi="Cambria"/>
        </w:rPr>
        <w:t xml:space="preserve">include deaths occurring lawfully under </w:t>
      </w:r>
      <w:r w:rsidR="0034418C">
        <w:rPr>
          <w:rFonts w:ascii="Cambria" w:hAnsi="Cambria"/>
        </w:rPr>
        <w:t>state-based VAD legislation</w:t>
      </w:r>
      <w:r w:rsidR="0081474D" w:rsidRPr="009F31E2">
        <w:rPr>
          <w:rFonts w:ascii="Cambria" w:hAnsi="Cambria"/>
        </w:rPr>
        <w:t xml:space="preserve">. </w:t>
      </w:r>
      <w:r w:rsidR="0034418C">
        <w:rPr>
          <w:rFonts w:ascii="Cambria" w:hAnsi="Cambria"/>
        </w:rPr>
        <w:t>Relevantly, section 474.29A of the</w:t>
      </w:r>
      <w:r w:rsidR="00DE1951" w:rsidRPr="009F31E2">
        <w:rPr>
          <w:rFonts w:ascii="Cambria" w:hAnsi="Cambria"/>
        </w:rPr>
        <w:t xml:space="preserve"> </w:t>
      </w:r>
      <w:r w:rsidR="009F31E2" w:rsidRPr="009F31E2">
        <w:rPr>
          <w:rFonts w:ascii="Cambria" w:hAnsi="Cambria"/>
          <w:i/>
          <w:iCs/>
        </w:rPr>
        <w:t>Criminal Code Act 1995</w:t>
      </w:r>
      <w:r w:rsidR="009F31E2" w:rsidRPr="009F31E2">
        <w:rPr>
          <w:rFonts w:ascii="Cambria" w:hAnsi="Cambria"/>
        </w:rPr>
        <w:t xml:space="preserve"> (</w:t>
      </w:r>
      <w:proofErr w:type="spellStart"/>
      <w:r w:rsidR="009F31E2" w:rsidRPr="009F31E2">
        <w:rPr>
          <w:rFonts w:ascii="Cambria" w:hAnsi="Cambria"/>
        </w:rPr>
        <w:t>Cth</w:t>
      </w:r>
      <w:proofErr w:type="spellEnd"/>
      <w:r w:rsidR="009F31E2" w:rsidRPr="009F31E2">
        <w:rPr>
          <w:rFonts w:ascii="Cambria" w:hAnsi="Cambria"/>
        </w:rPr>
        <w:t xml:space="preserve">) </w:t>
      </w:r>
      <w:r w:rsidR="00DE1951" w:rsidRPr="009F31E2">
        <w:rPr>
          <w:rFonts w:ascii="Cambria" w:hAnsi="Cambria"/>
        </w:rPr>
        <w:t>make</w:t>
      </w:r>
      <w:r w:rsidR="00DE1951" w:rsidRPr="009F31E2">
        <w:rPr>
          <w:rFonts w:ascii="Cambria" w:hAnsi="Cambria"/>
        </w:rPr>
        <w:t>s</w:t>
      </w:r>
      <w:r w:rsidR="00DE1951" w:rsidRPr="009F31E2">
        <w:rPr>
          <w:rFonts w:ascii="Cambria" w:hAnsi="Cambria"/>
        </w:rPr>
        <w:t xml:space="preserve"> it an offence to use a</w:t>
      </w:r>
      <w:r w:rsidR="00DE1951" w:rsidRPr="009F31E2">
        <w:rPr>
          <w:rFonts w:ascii="Cambria" w:hAnsi="Cambria"/>
        </w:rPr>
        <w:t xml:space="preserve"> ‘carriage service’</w:t>
      </w:r>
      <w:r w:rsidR="00DE1951" w:rsidRPr="009F31E2">
        <w:rPr>
          <w:rFonts w:ascii="Cambria" w:hAnsi="Cambria"/>
        </w:rPr>
        <w:t xml:space="preserve"> (such as a telephone, email, or</w:t>
      </w:r>
      <w:r w:rsidR="009F31E2" w:rsidRPr="009F31E2">
        <w:rPr>
          <w:rFonts w:ascii="Cambria" w:hAnsi="Cambria"/>
        </w:rPr>
        <w:t xml:space="preserve"> telehealth</w:t>
      </w:r>
      <w:r w:rsidR="00DE1951" w:rsidRPr="009F31E2">
        <w:rPr>
          <w:rFonts w:ascii="Cambria" w:hAnsi="Cambria"/>
        </w:rPr>
        <w:t>) to counsel, incite, or provide instructions for suicide</w:t>
      </w:r>
      <w:r w:rsidR="0034418C">
        <w:rPr>
          <w:rFonts w:ascii="Cambria" w:hAnsi="Cambria"/>
        </w:rPr>
        <w:t>:</w:t>
      </w:r>
      <w:r w:rsidR="00565680">
        <w:rPr>
          <w:rStyle w:val="FootnoteReference"/>
          <w:rFonts w:ascii="Cambria" w:hAnsi="Cambria"/>
        </w:rPr>
        <w:footnoteReference w:id="12"/>
      </w:r>
    </w:p>
    <w:p w14:paraId="3CE38EE0" w14:textId="77777777" w:rsidR="0034418C" w:rsidRPr="0034418C" w:rsidRDefault="0034418C" w:rsidP="0034418C">
      <w:pPr>
        <w:pStyle w:val="NormalWeb"/>
        <w:spacing w:before="0" w:beforeAutospacing="0" w:after="0" w:afterAutospacing="0"/>
        <w:jc w:val="both"/>
        <w:rPr>
          <w:rFonts w:ascii="Cambria" w:hAnsi="Cambria"/>
          <w:color w:val="000000" w:themeColor="text1"/>
        </w:rPr>
      </w:pPr>
    </w:p>
    <w:p w14:paraId="0391C565" w14:textId="45D4FD18" w:rsidR="00DE1951" w:rsidRPr="00DE1951" w:rsidRDefault="00DE1951" w:rsidP="00DE1951">
      <w:pPr>
        <w:pStyle w:val="NoSpacing"/>
        <w:ind w:firstLine="720"/>
        <w:jc w:val="both"/>
        <w:rPr>
          <w:rFonts w:ascii="Cambria" w:hAnsi="Cambria"/>
          <w:b/>
          <w:bCs/>
          <w:i/>
          <w:iCs/>
        </w:rPr>
      </w:pPr>
      <w:r w:rsidRPr="00DE1951">
        <w:rPr>
          <w:rFonts w:ascii="Cambria" w:hAnsi="Cambria"/>
          <w:b/>
          <w:bCs/>
          <w:i/>
          <w:iCs/>
        </w:rPr>
        <w:t>474.29A</w:t>
      </w:r>
      <w:r w:rsidRPr="00DE1951">
        <w:rPr>
          <w:rFonts w:ascii="Cambria" w:hAnsi="Cambria"/>
          <w:b/>
          <w:bCs/>
          <w:i/>
          <w:iCs/>
        </w:rPr>
        <w:t xml:space="preserve"> - Using a carriage service for suicidal related material</w:t>
      </w:r>
    </w:p>
    <w:p w14:paraId="0835BF93" w14:textId="7E5277D2" w:rsidR="00DE1951" w:rsidRPr="00DE1951" w:rsidRDefault="00DE1951" w:rsidP="00DE1951">
      <w:pPr>
        <w:pStyle w:val="NoSpacing"/>
        <w:ind w:firstLine="720"/>
        <w:rPr>
          <w:rFonts w:ascii="Cambria" w:hAnsi="Cambria"/>
          <w:i/>
          <w:iCs/>
        </w:rPr>
      </w:pPr>
      <w:r w:rsidRPr="00DE1951">
        <w:rPr>
          <w:rFonts w:ascii="Cambria" w:hAnsi="Cambria"/>
          <w:i/>
          <w:iCs/>
        </w:rPr>
        <w:t>(1)</w:t>
      </w:r>
      <w:r w:rsidRPr="00DE1951">
        <w:rPr>
          <w:rFonts w:ascii="Cambria" w:hAnsi="Cambria"/>
          <w:i/>
          <w:iCs/>
        </w:rPr>
        <w:t xml:space="preserve"> </w:t>
      </w:r>
      <w:r w:rsidRPr="00DE1951">
        <w:rPr>
          <w:rFonts w:ascii="Cambria" w:hAnsi="Cambria"/>
          <w:i/>
          <w:iCs/>
        </w:rPr>
        <w:t xml:space="preserve">A person commits an offence if: </w:t>
      </w:r>
    </w:p>
    <w:p w14:paraId="29EBCD74" w14:textId="56AD1881" w:rsidR="00DE1951" w:rsidRPr="00DE1951" w:rsidRDefault="00DE1951" w:rsidP="00DE1951">
      <w:pPr>
        <w:pStyle w:val="NoSpacing"/>
        <w:ind w:firstLine="720"/>
        <w:rPr>
          <w:rFonts w:ascii="Cambria" w:hAnsi="Cambria"/>
          <w:i/>
          <w:iCs/>
        </w:rPr>
      </w:pPr>
      <w:r w:rsidRPr="00DE1951">
        <w:rPr>
          <w:rFonts w:ascii="Cambria" w:hAnsi="Cambria"/>
          <w:i/>
          <w:iCs/>
        </w:rPr>
        <w:t>(a)</w:t>
      </w:r>
      <w:r w:rsidRPr="00DE1951">
        <w:rPr>
          <w:rFonts w:ascii="Cambria" w:hAnsi="Cambria"/>
          <w:i/>
          <w:iCs/>
        </w:rPr>
        <w:t xml:space="preserve"> </w:t>
      </w:r>
      <w:r w:rsidRPr="00DE1951">
        <w:rPr>
          <w:rFonts w:ascii="Cambria" w:hAnsi="Cambria"/>
          <w:i/>
          <w:iCs/>
        </w:rPr>
        <w:t xml:space="preserve">the person: </w:t>
      </w:r>
    </w:p>
    <w:p w14:paraId="5CCCA9AB" w14:textId="7C19A4C4" w:rsidR="00DE1951" w:rsidRPr="00DE1951" w:rsidRDefault="00DE1951" w:rsidP="00DE1951">
      <w:pPr>
        <w:pStyle w:val="NoSpacing"/>
        <w:ind w:left="720" w:firstLine="720"/>
        <w:rPr>
          <w:rFonts w:ascii="Cambria" w:hAnsi="Cambria"/>
          <w:i/>
          <w:iCs/>
        </w:rPr>
      </w:pPr>
      <w:r w:rsidRPr="00DE1951">
        <w:rPr>
          <w:rFonts w:ascii="Cambria" w:hAnsi="Cambria"/>
          <w:i/>
          <w:iCs/>
        </w:rPr>
        <w:t>(</w:t>
      </w:r>
      <w:proofErr w:type="spellStart"/>
      <w:r w:rsidRPr="00DE1951">
        <w:rPr>
          <w:rFonts w:ascii="Cambria" w:hAnsi="Cambria"/>
          <w:i/>
          <w:iCs/>
        </w:rPr>
        <w:t>i</w:t>
      </w:r>
      <w:proofErr w:type="spellEnd"/>
      <w:r w:rsidRPr="00DE1951">
        <w:rPr>
          <w:rFonts w:ascii="Cambria" w:hAnsi="Cambria"/>
          <w:i/>
          <w:iCs/>
        </w:rPr>
        <w:t>)</w:t>
      </w:r>
      <w:r w:rsidRPr="00DE1951">
        <w:rPr>
          <w:rFonts w:ascii="Cambria" w:hAnsi="Cambria"/>
          <w:i/>
          <w:iCs/>
        </w:rPr>
        <w:t xml:space="preserve"> </w:t>
      </w:r>
      <w:r w:rsidRPr="00DE1951">
        <w:rPr>
          <w:rFonts w:ascii="Cambria" w:hAnsi="Cambria"/>
          <w:i/>
          <w:iCs/>
        </w:rPr>
        <w:t xml:space="preserve">uses a carriage service to access material; or </w:t>
      </w:r>
    </w:p>
    <w:p w14:paraId="372ACAA9" w14:textId="0862BA16" w:rsidR="00DE1951" w:rsidRPr="00DE1951" w:rsidRDefault="00DE1951" w:rsidP="00DE1951">
      <w:pPr>
        <w:pStyle w:val="NoSpacing"/>
        <w:ind w:left="1440"/>
        <w:rPr>
          <w:rFonts w:ascii="Cambria" w:hAnsi="Cambria"/>
          <w:i/>
          <w:iCs/>
        </w:rPr>
      </w:pPr>
      <w:r w:rsidRPr="00DE1951">
        <w:rPr>
          <w:rFonts w:ascii="Cambria" w:hAnsi="Cambria"/>
          <w:i/>
          <w:iCs/>
        </w:rPr>
        <w:t>(ii)</w:t>
      </w:r>
      <w:r w:rsidRPr="00DE1951">
        <w:rPr>
          <w:rFonts w:ascii="Cambria" w:hAnsi="Cambria"/>
          <w:i/>
          <w:iCs/>
        </w:rPr>
        <w:t xml:space="preserve"> </w:t>
      </w:r>
      <w:r w:rsidRPr="00DE1951">
        <w:rPr>
          <w:rFonts w:ascii="Cambria" w:hAnsi="Cambria"/>
          <w:i/>
          <w:iCs/>
        </w:rPr>
        <w:t xml:space="preserve">uses a carriage service to cause material to be transmitted to the person; or </w:t>
      </w:r>
    </w:p>
    <w:p w14:paraId="12E7E104" w14:textId="5873879F" w:rsidR="00DE1951" w:rsidRPr="00DE1951" w:rsidRDefault="00DE1951" w:rsidP="00DE1951">
      <w:pPr>
        <w:pStyle w:val="NoSpacing"/>
        <w:ind w:left="720" w:firstLine="720"/>
        <w:rPr>
          <w:rFonts w:ascii="Cambria" w:hAnsi="Cambria"/>
          <w:i/>
          <w:iCs/>
        </w:rPr>
      </w:pPr>
      <w:r w:rsidRPr="00DE1951">
        <w:rPr>
          <w:rFonts w:ascii="Cambria" w:hAnsi="Cambria"/>
          <w:i/>
          <w:iCs/>
        </w:rPr>
        <w:t>(iii)</w:t>
      </w:r>
      <w:r w:rsidRPr="00DE1951">
        <w:rPr>
          <w:rFonts w:ascii="Cambria" w:hAnsi="Cambria"/>
          <w:i/>
          <w:iCs/>
        </w:rPr>
        <w:t xml:space="preserve"> </w:t>
      </w:r>
      <w:r w:rsidRPr="00DE1951">
        <w:rPr>
          <w:rFonts w:ascii="Cambria" w:hAnsi="Cambria"/>
          <w:i/>
          <w:iCs/>
        </w:rPr>
        <w:t xml:space="preserve">uses a carriage service to transmit material; or </w:t>
      </w:r>
    </w:p>
    <w:p w14:paraId="262A54B6" w14:textId="5662A3EA" w:rsidR="00DE1951" w:rsidRPr="00DE1951" w:rsidRDefault="00DE1951" w:rsidP="00DE1951">
      <w:pPr>
        <w:pStyle w:val="NoSpacing"/>
        <w:ind w:left="720" w:firstLine="720"/>
        <w:rPr>
          <w:rFonts w:ascii="Cambria" w:hAnsi="Cambria"/>
          <w:i/>
          <w:iCs/>
        </w:rPr>
      </w:pPr>
      <w:r w:rsidRPr="00DE1951">
        <w:rPr>
          <w:rFonts w:ascii="Cambria" w:hAnsi="Cambria"/>
          <w:i/>
          <w:iCs/>
        </w:rPr>
        <w:t>(iv)</w:t>
      </w:r>
      <w:r w:rsidRPr="00DE1951">
        <w:rPr>
          <w:rFonts w:ascii="Cambria" w:hAnsi="Cambria"/>
          <w:i/>
          <w:iCs/>
        </w:rPr>
        <w:t xml:space="preserve"> </w:t>
      </w:r>
      <w:r w:rsidRPr="00DE1951">
        <w:rPr>
          <w:rFonts w:ascii="Cambria" w:hAnsi="Cambria"/>
          <w:i/>
          <w:iCs/>
        </w:rPr>
        <w:t xml:space="preserve">uses a carriage service to make material available; or </w:t>
      </w:r>
    </w:p>
    <w:p w14:paraId="603CF451" w14:textId="43D658BC" w:rsidR="00DE1951" w:rsidRPr="00DE1951" w:rsidRDefault="00DE1951" w:rsidP="00DE1951">
      <w:pPr>
        <w:pStyle w:val="NoSpacing"/>
        <w:ind w:left="720" w:firstLine="720"/>
        <w:rPr>
          <w:rFonts w:ascii="Cambria" w:hAnsi="Cambria"/>
          <w:i/>
          <w:iCs/>
        </w:rPr>
      </w:pPr>
      <w:r w:rsidRPr="00DE1951">
        <w:rPr>
          <w:rFonts w:ascii="Cambria" w:hAnsi="Cambria"/>
          <w:i/>
          <w:iCs/>
        </w:rPr>
        <w:t>(v)</w:t>
      </w:r>
      <w:r w:rsidRPr="00DE1951">
        <w:rPr>
          <w:rFonts w:ascii="Cambria" w:hAnsi="Cambria"/>
          <w:i/>
          <w:iCs/>
        </w:rPr>
        <w:t xml:space="preserve"> </w:t>
      </w:r>
      <w:r w:rsidRPr="00DE1951">
        <w:rPr>
          <w:rFonts w:ascii="Cambria" w:hAnsi="Cambria"/>
          <w:i/>
          <w:iCs/>
        </w:rPr>
        <w:t xml:space="preserve">uses a carriage service to publish or otherwise distribute material; and </w:t>
      </w:r>
    </w:p>
    <w:p w14:paraId="479512E5" w14:textId="09526666" w:rsidR="00DE1951" w:rsidRPr="00DE1951" w:rsidRDefault="00DE1951" w:rsidP="00DE1951">
      <w:pPr>
        <w:pStyle w:val="NoSpacing"/>
        <w:ind w:left="720"/>
        <w:rPr>
          <w:rFonts w:ascii="Cambria" w:hAnsi="Cambria"/>
          <w:i/>
          <w:iCs/>
        </w:rPr>
      </w:pPr>
      <w:r w:rsidRPr="00DE1951">
        <w:rPr>
          <w:rFonts w:ascii="Cambria" w:hAnsi="Cambria"/>
          <w:i/>
          <w:iCs/>
        </w:rPr>
        <w:t>(b)</w:t>
      </w:r>
      <w:r w:rsidRPr="00DE1951">
        <w:rPr>
          <w:rFonts w:ascii="Cambria" w:hAnsi="Cambria"/>
          <w:i/>
          <w:iCs/>
        </w:rPr>
        <w:t xml:space="preserve"> </w:t>
      </w:r>
      <w:r w:rsidRPr="00DE1951">
        <w:rPr>
          <w:rFonts w:ascii="Cambria" w:hAnsi="Cambria"/>
          <w:i/>
          <w:iCs/>
        </w:rPr>
        <w:t xml:space="preserve">the material directly or indirectly counsels or incites committing or attempting to commit suicide; and </w:t>
      </w:r>
    </w:p>
    <w:p w14:paraId="5C0E9F80" w14:textId="00E4C3B9" w:rsidR="00DE1951" w:rsidRPr="00DE1951" w:rsidRDefault="00DE1951" w:rsidP="00DE1951">
      <w:pPr>
        <w:pStyle w:val="NoSpacing"/>
        <w:ind w:firstLine="720"/>
        <w:rPr>
          <w:rFonts w:ascii="Cambria" w:hAnsi="Cambria"/>
          <w:i/>
          <w:iCs/>
        </w:rPr>
      </w:pPr>
      <w:r w:rsidRPr="00DE1951">
        <w:rPr>
          <w:rFonts w:ascii="Cambria" w:hAnsi="Cambria"/>
          <w:i/>
          <w:iCs/>
        </w:rPr>
        <w:t>(c)</w:t>
      </w:r>
      <w:r w:rsidRPr="00DE1951">
        <w:rPr>
          <w:rFonts w:ascii="Cambria" w:hAnsi="Cambria"/>
          <w:i/>
          <w:iCs/>
        </w:rPr>
        <w:t xml:space="preserve"> </w:t>
      </w:r>
      <w:r w:rsidRPr="00DE1951">
        <w:rPr>
          <w:rFonts w:ascii="Cambria" w:hAnsi="Cambria"/>
          <w:i/>
          <w:iCs/>
        </w:rPr>
        <w:t xml:space="preserve">the person: </w:t>
      </w:r>
    </w:p>
    <w:p w14:paraId="4AE0ED9C" w14:textId="6FE9BE9D" w:rsidR="00DE1951" w:rsidRPr="00DE1951" w:rsidRDefault="00DE1951" w:rsidP="00DE1951">
      <w:pPr>
        <w:pStyle w:val="NoSpacing"/>
        <w:ind w:left="1440"/>
        <w:rPr>
          <w:rFonts w:ascii="Cambria" w:hAnsi="Cambria"/>
          <w:i/>
          <w:iCs/>
        </w:rPr>
      </w:pPr>
      <w:r w:rsidRPr="00DE1951">
        <w:rPr>
          <w:rFonts w:ascii="Cambria" w:hAnsi="Cambria"/>
          <w:i/>
          <w:iCs/>
        </w:rPr>
        <w:t>(</w:t>
      </w:r>
      <w:proofErr w:type="spellStart"/>
      <w:r w:rsidRPr="00DE1951">
        <w:rPr>
          <w:rFonts w:ascii="Cambria" w:hAnsi="Cambria"/>
          <w:i/>
          <w:iCs/>
        </w:rPr>
        <w:t>i</w:t>
      </w:r>
      <w:proofErr w:type="spellEnd"/>
      <w:r w:rsidRPr="00DE1951">
        <w:rPr>
          <w:rFonts w:ascii="Cambria" w:hAnsi="Cambria"/>
          <w:i/>
          <w:iCs/>
        </w:rPr>
        <w:t>)</w:t>
      </w:r>
      <w:r w:rsidRPr="00DE1951">
        <w:rPr>
          <w:rFonts w:ascii="Cambria" w:hAnsi="Cambria"/>
          <w:i/>
          <w:iCs/>
        </w:rPr>
        <w:t xml:space="preserve"> </w:t>
      </w:r>
      <w:r w:rsidRPr="00DE1951">
        <w:rPr>
          <w:rFonts w:ascii="Cambria" w:hAnsi="Cambria"/>
          <w:i/>
          <w:iCs/>
        </w:rPr>
        <w:t xml:space="preserve">intends to use the material to counsel or incite committing or attempting to commit suicide; or </w:t>
      </w:r>
    </w:p>
    <w:p w14:paraId="0349C81C" w14:textId="001FEBEC" w:rsidR="00DE1951" w:rsidRPr="00DE1951" w:rsidRDefault="00DE1951" w:rsidP="00DE1951">
      <w:pPr>
        <w:pStyle w:val="NoSpacing"/>
        <w:ind w:left="1440"/>
        <w:rPr>
          <w:rFonts w:ascii="Cambria" w:hAnsi="Cambria"/>
          <w:i/>
          <w:iCs/>
        </w:rPr>
      </w:pPr>
      <w:r w:rsidRPr="00DE1951">
        <w:rPr>
          <w:rFonts w:ascii="Cambria" w:hAnsi="Cambria"/>
          <w:i/>
          <w:iCs/>
        </w:rPr>
        <w:t>(ii)</w:t>
      </w:r>
      <w:r w:rsidRPr="00DE1951">
        <w:rPr>
          <w:rFonts w:ascii="Cambria" w:hAnsi="Cambria"/>
          <w:i/>
          <w:iCs/>
        </w:rPr>
        <w:t xml:space="preserve"> </w:t>
      </w:r>
      <w:r w:rsidRPr="00DE1951">
        <w:rPr>
          <w:rFonts w:ascii="Cambria" w:hAnsi="Cambria"/>
          <w:i/>
          <w:iCs/>
        </w:rPr>
        <w:t xml:space="preserve">intends that the material be used by another person to counsel or incite committing or attempting to commit suicide. </w:t>
      </w:r>
    </w:p>
    <w:p w14:paraId="3A39CB76" w14:textId="77777777" w:rsidR="00DE1951" w:rsidRDefault="00DE1951" w:rsidP="00DE1951">
      <w:pPr>
        <w:pStyle w:val="NoSpacing"/>
        <w:rPr>
          <w:rFonts w:ascii="Cambria" w:hAnsi="Cambria"/>
        </w:rPr>
      </w:pPr>
    </w:p>
    <w:p w14:paraId="59B88D4C" w14:textId="5381CB99" w:rsidR="005C299E" w:rsidRDefault="0034418C" w:rsidP="005C299E">
      <w:pPr>
        <w:pStyle w:val="NoSpacing"/>
        <w:jc w:val="both"/>
        <w:rPr>
          <w:rFonts w:ascii="Cambria" w:hAnsi="Cambria"/>
        </w:rPr>
      </w:pPr>
      <w:r>
        <w:rPr>
          <w:rFonts w:ascii="Cambria" w:hAnsi="Cambria"/>
        </w:rPr>
        <w:t>The applicant</w:t>
      </w:r>
      <w:r w:rsidR="00DE1951" w:rsidRPr="0081474D">
        <w:rPr>
          <w:rFonts w:ascii="Cambria" w:hAnsi="Cambria"/>
        </w:rPr>
        <w:t xml:space="preserve"> argued that VAD </w:t>
      </w:r>
      <w:r w:rsidR="00DE1951">
        <w:rPr>
          <w:rFonts w:ascii="Cambria" w:hAnsi="Cambria"/>
        </w:rPr>
        <w:t>wa</w:t>
      </w:r>
      <w:r w:rsidR="00DE1951" w:rsidRPr="0081474D">
        <w:rPr>
          <w:rFonts w:ascii="Cambria" w:hAnsi="Cambria"/>
        </w:rPr>
        <w:t xml:space="preserve">s </w:t>
      </w:r>
      <w:r w:rsidR="007A7824">
        <w:rPr>
          <w:rFonts w:ascii="Cambria" w:hAnsi="Cambria"/>
        </w:rPr>
        <w:t>a</w:t>
      </w:r>
      <w:r w:rsidR="00DE1951" w:rsidRPr="0081474D">
        <w:rPr>
          <w:rFonts w:ascii="Cambria" w:hAnsi="Cambria"/>
        </w:rPr>
        <w:t xml:space="preserve"> regulated medical process and should not be characterised as suicide meaning th</w:t>
      </w:r>
      <w:r w:rsidR="007A7824">
        <w:rPr>
          <w:rFonts w:ascii="Cambria" w:hAnsi="Cambria"/>
        </w:rPr>
        <w:t>at</w:t>
      </w:r>
      <w:r w:rsidR="00DE1951" w:rsidRPr="0081474D">
        <w:rPr>
          <w:rFonts w:ascii="Cambria" w:hAnsi="Cambria"/>
        </w:rPr>
        <w:t xml:space="preserve"> </w:t>
      </w:r>
      <w:r w:rsidR="007A7824">
        <w:rPr>
          <w:rFonts w:ascii="Cambria" w:hAnsi="Cambria"/>
        </w:rPr>
        <w:t xml:space="preserve">the offences set out in the </w:t>
      </w:r>
      <w:r w:rsidR="007A7824" w:rsidRPr="007A7824">
        <w:rPr>
          <w:rFonts w:ascii="Cambria" w:hAnsi="Cambria"/>
          <w:i/>
          <w:iCs/>
        </w:rPr>
        <w:t>Criminal Code Act 1995</w:t>
      </w:r>
      <w:r w:rsidR="007A7824">
        <w:rPr>
          <w:rFonts w:ascii="Cambria" w:hAnsi="Cambria"/>
        </w:rPr>
        <w:t xml:space="preserve"> (</w:t>
      </w:r>
      <w:proofErr w:type="spellStart"/>
      <w:r w:rsidR="007A7824">
        <w:rPr>
          <w:rFonts w:ascii="Cambria" w:hAnsi="Cambria"/>
        </w:rPr>
        <w:t>Cth</w:t>
      </w:r>
      <w:proofErr w:type="spellEnd"/>
      <w:r w:rsidR="007A7824">
        <w:rPr>
          <w:rFonts w:ascii="Cambria" w:hAnsi="Cambria"/>
        </w:rPr>
        <w:t>)</w:t>
      </w:r>
      <w:r w:rsidR="00DE1951" w:rsidRPr="0081474D">
        <w:rPr>
          <w:rFonts w:ascii="Cambria" w:hAnsi="Cambria"/>
        </w:rPr>
        <w:t xml:space="preserve"> would not apply to VAD-related communications.</w:t>
      </w:r>
      <w:r w:rsidR="005C299E">
        <w:rPr>
          <w:rFonts w:ascii="Cambria" w:hAnsi="Cambria"/>
        </w:rPr>
        <w:t xml:space="preserve"> </w:t>
      </w:r>
    </w:p>
    <w:p w14:paraId="70CBED84" w14:textId="77777777" w:rsidR="005C299E" w:rsidRDefault="005C299E" w:rsidP="005C299E">
      <w:pPr>
        <w:pStyle w:val="NoSpacing"/>
        <w:jc w:val="both"/>
        <w:rPr>
          <w:rFonts w:ascii="Cambria" w:hAnsi="Cambria"/>
        </w:rPr>
      </w:pPr>
    </w:p>
    <w:p w14:paraId="7D66A102" w14:textId="0D00DD92" w:rsidR="00565680" w:rsidRDefault="007A7824" w:rsidP="005138D7">
      <w:pPr>
        <w:pStyle w:val="NoSpacing"/>
        <w:jc w:val="both"/>
        <w:rPr>
          <w:rFonts w:ascii="Cambria" w:hAnsi="Cambria"/>
        </w:rPr>
      </w:pPr>
      <w:r>
        <w:rPr>
          <w:rFonts w:ascii="Cambria" w:hAnsi="Cambria"/>
        </w:rPr>
        <w:t>The Federal Court rejected the argument, ruling that</w:t>
      </w:r>
      <w:r w:rsidR="00C13DB9">
        <w:rPr>
          <w:rFonts w:ascii="Cambria" w:hAnsi="Cambria"/>
        </w:rPr>
        <w:t xml:space="preserve"> </w:t>
      </w:r>
      <w:r w:rsidR="00C13DB9" w:rsidRPr="0081474D">
        <w:rPr>
          <w:rFonts w:ascii="Cambria" w:hAnsi="Cambria"/>
        </w:rPr>
        <w:t xml:space="preserve">for the purposes of the </w:t>
      </w:r>
      <w:r w:rsidR="005138D7" w:rsidRPr="007A7824">
        <w:rPr>
          <w:rFonts w:ascii="Cambria" w:hAnsi="Cambria"/>
          <w:i/>
          <w:iCs/>
        </w:rPr>
        <w:t>Criminal Code Act 1995</w:t>
      </w:r>
      <w:r w:rsidR="005138D7">
        <w:rPr>
          <w:rFonts w:ascii="Cambria" w:hAnsi="Cambria"/>
        </w:rPr>
        <w:t xml:space="preserve"> (</w:t>
      </w:r>
      <w:proofErr w:type="spellStart"/>
      <w:r w:rsidR="005138D7">
        <w:rPr>
          <w:rFonts w:ascii="Cambria" w:hAnsi="Cambria"/>
        </w:rPr>
        <w:t>Cth</w:t>
      </w:r>
      <w:proofErr w:type="spellEnd"/>
      <w:r w:rsidR="005138D7">
        <w:rPr>
          <w:rFonts w:ascii="Cambria" w:hAnsi="Cambria"/>
        </w:rPr>
        <w:t>)</w:t>
      </w:r>
      <w:r w:rsidR="00C13DB9" w:rsidRPr="0081474D">
        <w:rPr>
          <w:rFonts w:ascii="Cambria" w:hAnsi="Cambria"/>
        </w:rPr>
        <w:t>, suicide refers broadly to the intentional ending of one’s own life, regardless of whether it occurs within a lawful medical framework such as VAD.</w:t>
      </w:r>
      <w:r w:rsidR="00C13DB9">
        <w:rPr>
          <w:rStyle w:val="FootnoteReference"/>
          <w:rFonts w:ascii="Cambria" w:hAnsi="Cambria"/>
        </w:rPr>
        <w:footnoteReference w:id="13"/>
      </w:r>
      <w:r w:rsidR="00C13DB9" w:rsidRPr="0081474D">
        <w:rPr>
          <w:rFonts w:ascii="Cambria" w:hAnsi="Cambria"/>
        </w:rPr>
        <w:t xml:space="preserve"> </w:t>
      </w:r>
      <w:r>
        <w:rPr>
          <w:rFonts w:ascii="Cambria" w:hAnsi="Cambria"/>
        </w:rPr>
        <w:t xml:space="preserve"> </w:t>
      </w:r>
      <w:r w:rsidR="005138D7" w:rsidRPr="0081474D">
        <w:rPr>
          <w:rFonts w:ascii="Cambria" w:hAnsi="Cambria"/>
        </w:rPr>
        <w:t xml:space="preserve">As a result, the Court found that </w:t>
      </w:r>
      <w:r w:rsidR="005138D7">
        <w:rPr>
          <w:rFonts w:ascii="Cambria" w:hAnsi="Cambria"/>
        </w:rPr>
        <w:t xml:space="preserve">authorised medical practitioners </w:t>
      </w:r>
      <w:r w:rsidR="005138D7" w:rsidRPr="0081474D">
        <w:rPr>
          <w:rFonts w:ascii="Cambria" w:hAnsi="Cambria"/>
        </w:rPr>
        <w:t xml:space="preserve">providing VAD-related information that amounts to counselling or instructing a person about ending their life via a carriage service may constitute a criminal offence. This </w:t>
      </w:r>
      <w:r w:rsidR="005138D7">
        <w:rPr>
          <w:rFonts w:ascii="Cambria" w:hAnsi="Cambria"/>
        </w:rPr>
        <w:t xml:space="preserve">in turn </w:t>
      </w:r>
      <w:r w:rsidR="005138D7" w:rsidRPr="0081474D">
        <w:rPr>
          <w:rFonts w:ascii="Cambria" w:hAnsi="Cambria"/>
        </w:rPr>
        <w:t>create</w:t>
      </w:r>
      <w:r w:rsidR="005138D7">
        <w:rPr>
          <w:rFonts w:ascii="Cambria" w:hAnsi="Cambria"/>
        </w:rPr>
        <w:t>d</w:t>
      </w:r>
      <w:r w:rsidR="005138D7" w:rsidRPr="0081474D">
        <w:rPr>
          <w:rFonts w:ascii="Cambria" w:hAnsi="Cambria"/>
        </w:rPr>
        <w:t xml:space="preserve"> a</w:t>
      </w:r>
      <w:r w:rsidR="005138D7">
        <w:rPr>
          <w:rFonts w:ascii="Cambria" w:hAnsi="Cambria"/>
        </w:rPr>
        <w:t xml:space="preserve"> direct inconsistency </w:t>
      </w:r>
      <w:r w:rsidR="005138D7" w:rsidRPr="0081474D">
        <w:rPr>
          <w:rFonts w:ascii="Cambria" w:hAnsi="Cambria"/>
        </w:rPr>
        <w:t xml:space="preserve">between </w:t>
      </w:r>
      <w:r w:rsidR="005138D7">
        <w:rPr>
          <w:rFonts w:ascii="Cambria" w:hAnsi="Cambria"/>
        </w:rPr>
        <w:t xml:space="preserve">the </w:t>
      </w:r>
      <w:r w:rsidR="005138D7" w:rsidRPr="007A7824">
        <w:rPr>
          <w:rFonts w:ascii="Cambria" w:hAnsi="Cambria"/>
          <w:i/>
          <w:iCs/>
        </w:rPr>
        <w:t>Criminal Code Act 1995</w:t>
      </w:r>
      <w:r w:rsidR="005138D7">
        <w:rPr>
          <w:rFonts w:ascii="Cambria" w:hAnsi="Cambria"/>
        </w:rPr>
        <w:t xml:space="preserve"> (</w:t>
      </w:r>
      <w:proofErr w:type="spellStart"/>
      <w:r w:rsidR="005138D7">
        <w:rPr>
          <w:rFonts w:ascii="Cambria" w:hAnsi="Cambria"/>
        </w:rPr>
        <w:t>Cth</w:t>
      </w:r>
      <w:proofErr w:type="spellEnd"/>
      <w:r w:rsidR="005138D7">
        <w:rPr>
          <w:rFonts w:ascii="Cambria" w:hAnsi="Cambria"/>
        </w:rPr>
        <w:t>)</w:t>
      </w:r>
      <w:r w:rsidR="005138D7" w:rsidRPr="0081474D">
        <w:rPr>
          <w:rFonts w:ascii="Cambria" w:hAnsi="Cambria"/>
        </w:rPr>
        <w:t xml:space="preserve"> and state</w:t>
      </w:r>
      <w:r w:rsidR="005138D7">
        <w:rPr>
          <w:rFonts w:ascii="Cambria" w:hAnsi="Cambria"/>
        </w:rPr>
        <w:t>-based</w:t>
      </w:r>
      <w:r w:rsidR="005138D7" w:rsidRPr="0081474D">
        <w:rPr>
          <w:rFonts w:ascii="Cambria" w:hAnsi="Cambria"/>
        </w:rPr>
        <w:t xml:space="preserve"> VAD legislation</w:t>
      </w:r>
      <w:r w:rsidR="005138D7">
        <w:rPr>
          <w:rFonts w:ascii="Cambria" w:hAnsi="Cambria"/>
        </w:rPr>
        <w:t xml:space="preserve"> with</w:t>
      </w:r>
      <w:r w:rsidR="005138D7" w:rsidRPr="0081474D">
        <w:rPr>
          <w:rFonts w:ascii="Cambria" w:hAnsi="Cambria"/>
        </w:rPr>
        <w:t xml:space="preserve"> section 109 of the Constitution</w:t>
      </w:r>
      <w:r w:rsidR="005138D7">
        <w:rPr>
          <w:rFonts w:ascii="Cambria" w:hAnsi="Cambria"/>
        </w:rPr>
        <w:t xml:space="preserve"> providing that</w:t>
      </w:r>
      <w:r w:rsidR="005138D7" w:rsidRPr="0081474D">
        <w:rPr>
          <w:rFonts w:ascii="Cambria" w:hAnsi="Cambria"/>
        </w:rPr>
        <w:t xml:space="preserve"> </w:t>
      </w:r>
      <w:r w:rsidR="005138D7">
        <w:rPr>
          <w:rFonts w:ascii="Cambria" w:hAnsi="Cambria"/>
        </w:rPr>
        <w:t>a</w:t>
      </w:r>
      <w:r w:rsidR="005138D7" w:rsidRPr="0081474D">
        <w:rPr>
          <w:rFonts w:ascii="Cambria" w:hAnsi="Cambria"/>
        </w:rPr>
        <w:t xml:space="preserve"> federal law prevails to the extent of </w:t>
      </w:r>
      <w:r w:rsidR="005138D7">
        <w:rPr>
          <w:rFonts w:ascii="Cambria" w:hAnsi="Cambria"/>
        </w:rPr>
        <w:t xml:space="preserve">the </w:t>
      </w:r>
      <w:r w:rsidR="005138D7" w:rsidRPr="0081474D">
        <w:rPr>
          <w:rFonts w:ascii="Cambria" w:hAnsi="Cambria"/>
        </w:rPr>
        <w:t xml:space="preserve">inconsistency. </w:t>
      </w:r>
      <w:r w:rsidR="005C299E">
        <w:rPr>
          <w:rFonts w:ascii="Cambria" w:hAnsi="Cambria"/>
        </w:rPr>
        <w:t>The</w:t>
      </w:r>
      <w:r w:rsidR="009F31E2">
        <w:rPr>
          <w:rFonts w:ascii="Cambria" w:hAnsi="Cambria"/>
        </w:rPr>
        <w:t xml:space="preserve"> importance of the </w:t>
      </w:r>
      <w:r w:rsidR="005C299E">
        <w:rPr>
          <w:rFonts w:ascii="Cambria" w:hAnsi="Cambria"/>
        </w:rPr>
        <w:t xml:space="preserve">decision </w:t>
      </w:r>
      <w:r w:rsidR="005138D7">
        <w:rPr>
          <w:rFonts w:ascii="Cambria" w:hAnsi="Cambria"/>
        </w:rPr>
        <w:t xml:space="preserve">is that it </w:t>
      </w:r>
      <w:r w:rsidR="005C299E">
        <w:rPr>
          <w:rFonts w:ascii="Cambria" w:hAnsi="Cambria"/>
        </w:rPr>
        <w:t>clarifie</w:t>
      </w:r>
      <w:r w:rsidR="00565680">
        <w:rPr>
          <w:rFonts w:ascii="Cambria" w:hAnsi="Cambria"/>
        </w:rPr>
        <w:t>d</w:t>
      </w:r>
      <w:r w:rsidR="005C299E">
        <w:rPr>
          <w:rFonts w:ascii="Cambria" w:hAnsi="Cambria"/>
        </w:rPr>
        <w:t xml:space="preserve"> a previously uncertain area of law and means that authorised medical practitioners </w:t>
      </w:r>
      <w:r w:rsidR="009F31E2">
        <w:rPr>
          <w:rFonts w:ascii="Cambria" w:hAnsi="Cambria"/>
        </w:rPr>
        <w:t xml:space="preserve">in all Australian States and Territories </w:t>
      </w:r>
      <w:r w:rsidR="00565680">
        <w:rPr>
          <w:rFonts w:ascii="Cambria" w:hAnsi="Cambria"/>
        </w:rPr>
        <w:t>are unable</w:t>
      </w:r>
      <w:r w:rsidR="005C299E" w:rsidRPr="0081474D">
        <w:rPr>
          <w:rFonts w:ascii="Cambria" w:hAnsi="Cambria"/>
        </w:rPr>
        <w:t xml:space="preserve"> </w:t>
      </w:r>
      <w:r w:rsidR="00565680">
        <w:rPr>
          <w:rFonts w:ascii="Cambria" w:hAnsi="Cambria"/>
        </w:rPr>
        <w:t xml:space="preserve">to </w:t>
      </w:r>
      <w:r w:rsidR="005C299E" w:rsidRPr="0081474D">
        <w:rPr>
          <w:rFonts w:ascii="Cambria" w:hAnsi="Cambria"/>
        </w:rPr>
        <w:t>us</w:t>
      </w:r>
      <w:r w:rsidR="00565680">
        <w:rPr>
          <w:rFonts w:ascii="Cambria" w:hAnsi="Cambria"/>
        </w:rPr>
        <w:t>e</w:t>
      </w:r>
      <w:r w:rsidR="005C299E" w:rsidRPr="0081474D">
        <w:rPr>
          <w:rFonts w:ascii="Cambria" w:hAnsi="Cambria"/>
        </w:rPr>
        <w:t xml:space="preserve"> telephone</w:t>
      </w:r>
      <w:r w:rsidR="003900F6">
        <w:rPr>
          <w:rFonts w:ascii="Cambria" w:hAnsi="Cambria"/>
        </w:rPr>
        <w:t xml:space="preserve">, email </w:t>
      </w:r>
      <w:r w:rsidR="005C299E" w:rsidRPr="0081474D">
        <w:rPr>
          <w:rFonts w:ascii="Cambria" w:hAnsi="Cambria"/>
        </w:rPr>
        <w:t>or telehealth services to convey certain VAD information, despite VAD being lawful at the state level.</w:t>
      </w:r>
    </w:p>
    <w:p w14:paraId="4BF03083" w14:textId="77777777" w:rsidR="00565680" w:rsidRDefault="00565680" w:rsidP="005138D7">
      <w:pPr>
        <w:pStyle w:val="NoSpacing"/>
        <w:jc w:val="both"/>
        <w:rPr>
          <w:rFonts w:ascii="Cambria" w:hAnsi="Cambria"/>
        </w:rPr>
      </w:pPr>
    </w:p>
    <w:p w14:paraId="0B5CCAB2" w14:textId="73B3152D" w:rsidR="00565680" w:rsidRDefault="00565680" w:rsidP="005138D7">
      <w:pPr>
        <w:pStyle w:val="NoSpacing"/>
        <w:jc w:val="both"/>
        <w:rPr>
          <w:rFonts w:ascii="Cambria" w:hAnsi="Cambria"/>
        </w:rPr>
      </w:pPr>
      <w:r>
        <w:rPr>
          <w:rFonts w:ascii="Cambria" w:hAnsi="Cambria"/>
        </w:rPr>
        <w:t xml:space="preserve">The current review of the Act provides Tasmania with an opportunity to advocate for law reform of the </w:t>
      </w:r>
      <w:r w:rsidRPr="00565680">
        <w:rPr>
          <w:rFonts w:ascii="Cambria" w:hAnsi="Cambria"/>
          <w:i/>
          <w:iCs/>
        </w:rPr>
        <w:t>Criminal Code Act 1995</w:t>
      </w:r>
      <w:r>
        <w:rPr>
          <w:rFonts w:ascii="Cambria" w:hAnsi="Cambria"/>
        </w:rPr>
        <w:t xml:space="preserve"> (</w:t>
      </w:r>
      <w:proofErr w:type="spellStart"/>
      <w:r>
        <w:rPr>
          <w:rFonts w:ascii="Cambria" w:hAnsi="Cambria"/>
        </w:rPr>
        <w:t>Cth</w:t>
      </w:r>
      <w:proofErr w:type="spellEnd"/>
      <w:r>
        <w:rPr>
          <w:rFonts w:ascii="Cambria" w:hAnsi="Cambria"/>
        </w:rPr>
        <w:t xml:space="preserve">) and ensure that authorised medical practitioners can access carriage services to deliver VAD-related communications. </w:t>
      </w:r>
    </w:p>
    <w:p w14:paraId="5348A481" w14:textId="77777777" w:rsidR="00565680" w:rsidRDefault="00565680" w:rsidP="00565680">
      <w:pPr>
        <w:jc w:val="both"/>
        <w:rPr>
          <w:rFonts w:ascii="Cambria" w:hAnsi="Cambria"/>
        </w:rPr>
      </w:pPr>
    </w:p>
    <w:p w14:paraId="24DBCD0B" w14:textId="77777777" w:rsidR="00565680" w:rsidRPr="00534C0E" w:rsidRDefault="00565680" w:rsidP="00565680">
      <w:pPr>
        <w:pBdr>
          <w:top w:val="single" w:sz="4" w:space="1" w:color="auto"/>
          <w:left w:val="single" w:sz="4" w:space="4" w:color="auto"/>
          <w:bottom w:val="single" w:sz="4" w:space="1" w:color="auto"/>
          <w:right w:val="single" w:sz="4" w:space="4" w:color="auto"/>
        </w:pBdr>
        <w:jc w:val="both"/>
        <w:rPr>
          <w:rFonts w:ascii="Cambria" w:hAnsi="Cambria"/>
          <w:b/>
          <w:bCs/>
        </w:rPr>
      </w:pPr>
      <w:r w:rsidRPr="00534C0E">
        <w:rPr>
          <w:rFonts w:ascii="Cambria" w:hAnsi="Cambria"/>
          <w:b/>
          <w:bCs/>
        </w:rPr>
        <w:t>Recommendation</w:t>
      </w:r>
    </w:p>
    <w:p w14:paraId="1F55F338" w14:textId="0B5A4C30" w:rsidR="00565680" w:rsidRPr="00534C0E" w:rsidRDefault="003900F6" w:rsidP="00565680">
      <w:pPr>
        <w:pBdr>
          <w:top w:val="single" w:sz="4" w:space="1" w:color="auto"/>
          <w:left w:val="single" w:sz="4" w:space="4" w:color="auto"/>
          <w:bottom w:val="single" w:sz="4" w:space="1" w:color="auto"/>
          <w:right w:val="single" w:sz="4" w:space="4" w:color="auto"/>
        </w:pBdr>
        <w:jc w:val="both"/>
        <w:rPr>
          <w:rFonts w:ascii="Cambria" w:hAnsi="Cambria"/>
        </w:rPr>
      </w:pPr>
      <w:r>
        <w:rPr>
          <w:rFonts w:ascii="Cambria" w:hAnsi="Cambria"/>
        </w:rPr>
        <w:t>T</w:t>
      </w:r>
      <w:r w:rsidR="00565680">
        <w:rPr>
          <w:rFonts w:ascii="Cambria" w:hAnsi="Cambria"/>
        </w:rPr>
        <w:t>hat</w:t>
      </w:r>
      <w:r w:rsidR="00565680">
        <w:rPr>
          <w:rFonts w:ascii="Cambria" w:hAnsi="Cambria"/>
        </w:rPr>
        <w:t xml:space="preserve"> the Tasmanian Government be encouraged to advocate for an amendment to the definition of ‘suicide’ in sections </w:t>
      </w:r>
      <w:r w:rsidR="00565680">
        <w:rPr>
          <w:rFonts w:ascii="Cambria" w:hAnsi="Cambria"/>
        </w:rPr>
        <w:t xml:space="preserve">474.29A </w:t>
      </w:r>
      <w:r w:rsidR="00565680">
        <w:rPr>
          <w:rFonts w:ascii="Cambria" w:hAnsi="Cambria"/>
        </w:rPr>
        <w:t xml:space="preserve">and </w:t>
      </w:r>
      <w:r w:rsidR="00565680">
        <w:rPr>
          <w:rFonts w:ascii="Cambria" w:hAnsi="Cambria"/>
        </w:rPr>
        <w:t>474.29</w:t>
      </w:r>
      <w:r w:rsidR="00565680">
        <w:rPr>
          <w:rFonts w:ascii="Cambria" w:hAnsi="Cambria"/>
        </w:rPr>
        <w:t xml:space="preserve">B </w:t>
      </w:r>
      <w:r w:rsidR="00565680">
        <w:rPr>
          <w:rFonts w:ascii="Cambria" w:hAnsi="Cambria"/>
        </w:rPr>
        <w:t>of the</w:t>
      </w:r>
      <w:r w:rsidR="00565680" w:rsidRPr="009F31E2">
        <w:rPr>
          <w:rFonts w:ascii="Cambria" w:hAnsi="Cambria"/>
        </w:rPr>
        <w:t xml:space="preserve"> </w:t>
      </w:r>
      <w:r w:rsidR="00565680" w:rsidRPr="009F31E2">
        <w:rPr>
          <w:rFonts w:ascii="Cambria" w:hAnsi="Cambria"/>
          <w:i/>
          <w:iCs/>
        </w:rPr>
        <w:t>Criminal Code Act 1995</w:t>
      </w:r>
      <w:r w:rsidR="00565680" w:rsidRPr="009F31E2">
        <w:rPr>
          <w:rFonts w:ascii="Cambria" w:hAnsi="Cambria"/>
        </w:rPr>
        <w:t xml:space="preserve"> (</w:t>
      </w:r>
      <w:proofErr w:type="spellStart"/>
      <w:r w:rsidR="00565680" w:rsidRPr="009F31E2">
        <w:rPr>
          <w:rFonts w:ascii="Cambria" w:hAnsi="Cambria"/>
        </w:rPr>
        <w:t>Cth</w:t>
      </w:r>
      <w:proofErr w:type="spellEnd"/>
      <w:r w:rsidR="00565680" w:rsidRPr="009F31E2">
        <w:rPr>
          <w:rFonts w:ascii="Cambria" w:hAnsi="Cambria"/>
        </w:rPr>
        <w:t>)</w:t>
      </w:r>
      <w:r w:rsidR="00565680">
        <w:rPr>
          <w:rFonts w:ascii="Cambria" w:hAnsi="Cambria"/>
        </w:rPr>
        <w:t xml:space="preserve"> so that </w:t>
      </w:r>
      <w:r w:rsidR="00565680">
        <w:rPr>
          <w:rFonts w:ascii="Cambria" w:hAnsi="Cambria"/>
        </w:rPr>
        <w:t xml:space="preserve">authorised medical practitioners can </w:t>
      </w:r>
      <w:r w:rsidR="00565680">
        <w:rPr>
          <w:rFonts w:ascii="Cambria" w:hAnsi="Cambria"/>
        </w:rPr>
        <w:t xml:space="preserve">utilise </w:t>
      </w:r>
      <w:r w:rsidR="00565680">
        <w:rPr>
          <w:rFonts w:ascii="Cambria" w:hAnsi="Cambria"/>
        </w:rPr>
        <w:t xml:space="preserve">carriage services to deliver VAD-related communications. </w:t>
      </w:r>
    </w:p>
    <w:p w14:paraId="0E24AE43" w14:textId="77777777" w:rsidR="00291766" w:rsidRDefault="00291766" w:rsidP="00E14DC3">
      <w:pPr>
        <w:pStyle w:val="NormalWeb"/>
        <w:spacing w:before="0" w:beforeAutospacing="0" w:after="0" w:afterAutospacing="0"/>
        <w:jc w:val="both"/>
        <w:rPr>
          <w:rFonts w:ascii="Cambria" w:hAnsi="Cambria"/>
          <w:b/>
          <w:bCs/>
        </w:rPr>
      </w:pPr>
    </w:p>
    <w:p w14:paraId="1685CD77" w14:textId="727503EE" w:rsidR="00E14DC3" w:rsidRPr="004E7234" w:rsidRDefault="00F551A7" w:rsidP="00E14DC3">
      <w:pPr>
        <w:pStyle w:val="NormalWeb"/>
        <w:spacing w:before="0" w:beforeAutospacing="0" w:after="0" w:afterAutospacing="0"/>
        <w:jc w:val="both"/>
        <w:rPr>
          <w:rFonts w:ascii="Cambria" w:hAnsi="Cambria"/>
          <w:b/>
          <w:bCs/>
        </w:rPr>
      </w:pPr>
      <w:r>
        <w:rPr>
          <w:rFonts w:ascii="Cambria" w:hAnsi="Cambria"/>
          <w:b/>
          <w:bCs/>
        </w:rPr>
        <w:t>Eligibility and Age</w:t>
      </w:r>
    </w:p>
    <w:p w14:paraId="2627F98A" w14:textId="5CBD6DC6" w:rsidR="00E14DC3" w:rsidRPr="00E14DC3" w:rsidRDefault="00F551A7" w:rsidP="00E14DC3">
      <w:pPr>
        <w:pStyle w:val="NormalWeb"/>
        <w:spacing w:before="0" w:beforeAutospacing="0" w:after="0" w:afterAutospacing="0"/>
        <w:jc w:val="both"/>
        <w:rPr>
          <w:rFonts w:ascii="Cambria" w:hAnsi="Cambria"/>
        </w:rPr>
      </w:pPr>
      <w:r>
        <w:rPr>
          <w:rFonts w:ascii="Cambria" w:hAnsi="Cambria"/>
        </w:rPr>
        <w:t xml:space="preserve">We strongly believe that VAD eligibility should not be limited </w:t>
      </w:r>
      <w:r w:rsidR="00E14DC3" w:rsidRPr="00E14DC3">
        <w:rPr>
          <w:rFonts w:ascii="Cambria" w:hAnsi="Cambria"/>
        </w:rPr>
        <w:t>to adults aged 18 years or older.</w:t>
      </w:r>
      <w:r>
        <w:rPr>
          <w:rStyle w:val="FootnoteReference"/>
          <w:rFonts w:ascii="Cambria" w:hAnsi="Cambria"/>
        </w:rPr>
        <w:footnoteReference w:id="14"/>
      </w:r>
      <w:r w:rsidR="00E14DC3" w:rsidRPr="00E14DC3">
        <w:rPr>
          <w:rFonts w:ascii="Cambria" w:hAnsi="Cambria"/>
        </w:rPr>
        <w:t xml:space="preserve"> In our opinion the Netherlands model should be adopted which allows doctors to act on the request of patient over the age of 12 provided they are ‘considered capable of a reasonable understanding of his [or her] interests’. For those aged between the age of 12 and 16, both parents (or guardian/s) must also agree with the individual’s decision. For those aged 16 or 17, parents (or guardian/s) must be consulted, but do not necessarily need to give their consent.</w:t>
      </w:r>
      <w:r w:rsidR="00E14DC3" w:rsidRPr="00E14DC3">
        <w:rPr>
          <w:rStyle w:val="FootnoteReference"/>
          <w:rFonts w:ascii="Cambria" w:hAnsi="Cambria"/>
        </w:rPr>
        <w:footnoteReference w:id="15"/>
      </w:r>
      <w:r w:rsidR="00E14DC3" w:rsidRPr="00E14DC3">
        <w:rPr>
          <w:rFonts w:ascii="Cambria" w:hAnsi="Cambria"/>
        </w:rPr>
        <w:t xml:space="preserve"> As well, it is our understanding that in Tasmania anyone over the age of 16 is able to refuse treatment. It would therefore be inconsistent to allow patients to refuse treatment that will hasten death but not allow them to access assistance for their death. </w:t>
      </w:r>
    </w:p>
    <w:p w14:paraId="2FB7ECCE" w14:textId="77777777" w:rsidR="00E14DC3" w:rsidRPr="00E14DC3" w:rsidRDefault="00E14DC3" w:rsidP="00C52E31">
      <w:pPr>
        <w:pStyle w:val="NoSpacing"/>
        <w:jc w:val="both"/>
        <w:rPr>
          <w:rFonts w:ascii="Cambria" w:hAnsi="Cambria"/>
          <w:iCs/>
          <w:color w:val="000000" w:themeColor="text1"/>
          <w:sz w:val="23"/>
          <w:szCs w:val="23"/>
        </w:rPr>
      </w:pPr>
    </w:p>
    <w:p w14:paraId="645ED3BD" w14:textId="77777777" w:rsidR="00F551A7" w:rsidRPr="00534C0E" w:rsidRDefault="00F551A7" w:rsidP="00F551A7">
      <w:pPr>
        <w:pBdr>
          <w:top w:val="single" w:sz="4" w:space="1" w:color="auto"/>
          <w:left w:val="single" w:sz="4" w:space="4" w:color="auto"/>
          <w:bottom w:val="single" w:sz="4" w:space="1" w:color="auto"/>
          <w:right w:val="single" w:sz="4" w:space="4" w:color="auto"/>
        </w:pBdr>
        <w:jc w:val="both"/>
        <w:rPr>
          <w:rFonts w:ascii="Cambria" w:hAnsi="Cambria"/>
          <w:b/>
          <w:bCs/>
        </w:rPr>
      </w:pPr>
      <w:r w:rsidRPr="00534C0E">
        <w:rPr>
          <w:rFonts w:ascii="Cambria" w:hAnsi="Cambria"/>
          <w:b/>
          <w:bCs/>
        </w:rPr>
        <w:t>Recommendation</w:t>
      </w:r>
    </w:p>
    <w:p w14:paraId="24EDEE53" w14:textId="247B5632" w:rsidR="00F551A7" w:rsidRPr="00534C0E" w:rsidRDefault="00391AEA" w:rsidP="00F551A7">
      <w:pPr>
        <w:pBdr>
          <w:top w:val="single" w:sz="4" w:space="1" w:color="auto"/>
          <w:left w:val="single" w:sz="4" w:space="4" w:color="auto"/>
          <w:bottom w:val="single" w:sz="4" w:space="1" w:color="auto"/>
          <w:right w:val="single" w:sz="4" w:space="4" w:color="auto"/>
        </w:pBdr>
        <w:jc w:val="both"/>
        <w:rPr>
          <w:rFonts w:ascii="Cambria" w:hAnsi="Cambria"/>
        </w:rPr>
      </w:pPr>
      <w:r>
        <w:rPr>
          <w:rFonts w:ascii="Cambria" w:hAnsi="Cambria"/>
        </w:rPr>
        <w:t>S</w:t>
      </w:r>
      <w:r w:rsidR="00F551A7">
        <w:rPr>
          <w:rFonts w:ascii="Cambria" w:hAnsi="Cambria"/>
        </w:rPr>
        <w:t xml:space="preserve">ection </w:t>
      </w:r>
      <w:r w:rsidR="00F551A7">
        <w:rPr>
          <w:rFonts w:ascii="Cambria" w:hAnsi="Cambria"/>
        </w:rPr>
        <w:t>7</w:t>
      </w:r>
      <w:r w:rsidR="00F551A7">
        <w:rPr>
          <w:rFonts w:ascii="Cambria" w:hAnsi="Cambria"/>
        </w:rPr>
        <w:t xml:space="preserve"> of the Act</w:t>
      </w:r>
      <w:r w:rsidR="00F551A7">
        <w:rPr>
          <w:rFonts w:ascii="Cambria" w:hAnsi="Cambria"/>
        </w:rPr>
        <w:t xml:space="preserve"> </w:t>
      </w:r>
      <w:r>
        <w:rPr>
          <w:rFonts w:ascii="Cambria" w:hAnsi="Cambria"/>
        </w:rPr>
        <w:t xml:space="preserve">be amended </w:t>
      </w:r>
      <w:r w:rsidR="00F551A7">
        <w:rPr>
          <w:rFonts w:ascii="Cambria" w:hAnsi="Cambria"/>
        </w:rPr>
        <w:t>to ensure that eligibility is available from 12 years of age (</w:t>
      </w:r>
      <w:r w:rsidR="00F551A7">
        <w:rPr>
          <w:rFonts w:ascii="Cambria" w:hAnsi="Cambria"/>
        </w:rPr>
        <w:t>with parental consent</w:t>
      </w:r>
      <w:r w:rsidR="00F551A7">
        <w:rPr>
          <w:rFonts w:ascii="Cambria" w:hAnsi="Cambria"/>
        </w:rPr>
        <w:t>) and with parent</w:t>
      </w:r>
      <w:r>
        <w:rPr>
          <w:rFonts w:ascii="Cambria" w:hAnsi="Cambria"/>
        </w:rPr>
        <w:t>al</w:t>
      </w:r>
      <w:r w:rsidR="00F551A7">
        <w:rPr>
          <w:rFonts w:ascii="Cambria" w:hAnsi="Cambria"/>
        </w:rPr>
        <w:t xml:space="preserve"> consult</w:t>
      </w:r>
      <w:r>
        <w:rPr>
          <w:rFonts w:ascii="Cambria" w:hAnsi="Cambria"/>
        </w:rPr>
        <w:t>ation</w:t>
      </w:r>
      <w:r w:rsidR="00F551A7">
        <w:rPr>
          <w:rFonts w:ascii="Cambria" w:hAnsi="Cambria"/>
        </w:rPr>
        <w:t xml:space="preserve"> at 16-17 years of age</w:t>
      </w:r>
      <w:r w:rsidR="00F551A7">
        <w:rPr>
          <w:rFonts w:ascii="Cambria" w:hAnsi="Cambria"/>
        </w:rPr>
        <w:t xml:space="preserve">. </w:t>
      </w:r>
    </w:p>
    <w:p w14:paraId="3B0FC8EC" w14:textId="77777777" w:rsidR="00C52E31" w:rsidRDefault="00C52E31" w:rsidP="00C52E31">
      <w:pPr>
        <w:rPr>
          <w:rFonts w:ascii="Cambria" w:hAnsi="Cambria"/>
          <w:sz w:val="23"/>
          <w:szCs w:val="23"/>
        </w:rPr>
      </w:pPr>
    </w:p>
    <w:p w14:paraId="6E1034BE" w14:textId="77777777" w:rsidR="00F551A7" w:rsidRPr="008F76C1" w:rsidRDefault="00F551A7" w:rsidP="00C52E31">
      <w:pPr>
        <w:rPr>
          <w:rFonts w:ascii="Cambria" w:hAnsi="Cambria"/>
          <w:sz w:val="23"/>
          <w:szCs w:val="23"/>
        </w:rPr>
      </w:pPr>
    </w:p>
    <w:p w14:paraId="679BE2DE" w14:textId="77777777" w:rsidR="00C52E31" w:rsidRPr="008F76C1" w:rsidRDefault="00C52E31" w:rsidP="00C52E31">
      <w:pPr>
        <w:ind w:right="-347"/>
        <w:jc w:val="both"/>
        <w:rPr>
          <w:rFonts w:ascii="Cambria" w:hAnsi="Cambria"/>
          <w:iCs/>
          <w:color w:val="000000" w:themeColor="text1"/>
          <w:sz w:val="23"/>
          <w:szCs w:val="23"/>
        </w:rPr>
      </w:pPr>
      <w:r w:rsidRPr="008F76C1">
        <w:rPr>
          <w:rFonts w:ascii="Cambria" w:hAnsi="Cambria"/>
          <w:iCs/>
          <w:color w:val="000000" w:themeColor="text1"/>
          <w:sz w:val="23"/>
          <w:szCs w:val="23"/>
        </w:rPr>
        <w:t xml:space="preserve">If you have any queries, please do not hesitate to contact us. </w:t>
      </w:r>
      <w:bookmarkStart w:id="0" w:name="sec.139"/>
      <w:bookmarkEnd w:id="0"/>
    </w:p>
    <w:p w14:paraId="625B5662" w14:textId="77777777" w:rsidR="00C52E31" w:rsidRDefault="00C52E31" w:rsidP="00C52E31">
      <w:pPr>
        <w:ind w:right="-347"/>
        <w:jc w:val="both"/>
        <w:rPr>
          <w:rFonts w:ascii="Cambria" w:hAnsi="Cambria"/>
          <w:iCs/>
          <w:color w:val="000000" w:themeColor="text1"/>
          <w:sz w:val="23"/>
          <w:szCs w:val="23"/>
        </w:rPr>
      </w:pPr>
    </w:p>
    <w:p w14:paraId="650DD17B" w14:textId="77777777" w:rsidR="00C52E31" w:rsidRDefault="00C52E31" w:rsidP="00C52E31">
      <w:pPr>
        <w:ind w:right="-347"/>
        <w:jc w:val="both"/>
        <w:rPr>
          <w:rFonts w:ascii="Cambria" w:hAnsi="Cambria"/>
          <w:iCs/>
          <w:color w:val="000000" w:themeColor="text1"/>
          <w:sz w:val="23"/>
          <w:szCs w:val="23"/>
        </w:rPr>
      </w:pPr>
    </w:p>
    <w:p w14:paraId="150EFEF3" w14:textId="0B165CDF" w:rsidR="00C52E31" w:rsidRPr="00CF03D5" w:rsidRDefault="00C52E31" w:rsidP="00C52E31">
      <w:pPr>
        <w:ind w:right="-347"/>
        <w:jc w:val="both"/>
        <w:rPr>
          <w:rFonts w:ascii="Cambria" w:hAnsi="Cambria"/>
          <w:iCs/>
          <w:color w:val="000000" w:themeColor="text1"/>
          <w:sz w:val="23"/>
          <w:szCs w:val="23"/>
        </w:rPr>
      </w:pPr>
      <w:r w:rsidRPr="00CF03D5">
        <w:rPr>
          <w:rFonts w:ascii="Cambria" w:hAnsi="Cambria"/>
          <w:iCs/>
          <w:color w:val="000000" w:themeColor="text1"/>
          <w:sz w:val="23"/>
          <w:szCs w:val="23"/>
        </w:rPr>
        <w:t>Yours faithfully,</w:t>
      </w:r>
    </w:p>
    <w:p w14:paraId="7B5763F9" w14:textId="6BB2D731" w:rsidR="00C52E31" w:rsidRPr="00CF03D5" w:rsidRDefault="00C52E31" w:rsidP="00C52E31">
      <w:pPr>
        <w:ind w:right="-347"/>
        <w:jc w:val="both"/>
        <w:rPr>
          <w:rFonts w:ascii="Cambria" w:hAnsi="Cambria"/>
          <w:iCs/>
          <w:color w:val="000000" w:themeColor="text1"/>
          <w:sz w:val="23"/>
          <w:szCs w:val="23"/>
        </w:rPr>
      </w:pPr>
      <w:r>
        <w:rPr>
          <w:rFonts w:ascii="Cambria" w:hAnsi="Cambria"/>
          <w:iCs/>
          <w:color w:val="000000" w:themeColor="text1"/>
          <w:sz w:val="23"/>
          <w:szCs w:val="23"/>
        </w:rPr>
        <w:tab/>
      </w:r>
      <w:r>
        <w:rPr>
          <w:rFonts w:ascii="Cambria" w:hAnsi="Cambria"/>
          <w:iCs/>
          <w:color w:val="000000" w:themeColor="text1"/>
          <w:sz w:val="23"/>
          <w:szCs w:val="23"/>
        </w:rPr>
        <w:tab/>
      </w:r>
      <w:r>
        <w:rPr>
          <w:rFonts w:ascii="Cambria" w:hAnsi="Cambria"/>
          <w:iCs/>
          <w:color w:val="000000" w:themeColor="text1"/>
          <w:sz w:val="23"/>
          <w:szCs w:val="23"/>
        </w:rPr>
        <w:tab/>
      </w:r>
      <w:r>
        <w:rPr>
          <w:rFonts w:ascii="Cambria" w:hAnsi="Cambria"/>
          <w:iCs/>
          <w:color w:val="000000" w:themeColor="text1"/>
          <w:sz w:val="23"/>
          <w:szCs w:val="23"/>
        </w:rPr>
        <w:tab/>
      </w:r>
      <w:r>
        <w:rPr>
          <w:rFonts w:ascii="Cambria" w:hAnsi="Cambria"/>
          <w:iCs/>
          <w:color w:val="000000" w:themeColor="text1"/>
          <w:sz w:val="23"/>
          <w:szCs w:val="23"/>
        </w:rPr>
        <w:tab/>
      </w:r>
      <w:r>
        <w:rPr>
          <w:rFonts w:ascii="Cambria" w:hAnsi="Cambria"/>
          <w:iCs/>
          <w:color w:val="000000" w:themeColor="text1"/>
          <w:sz w:val="23"/>
          <w:szCs w:val="23"/>
        </w:rPr>
        <w:tab/>
      </w:r>
    </w:p>
    <w:p w14:paraId="52CBC6D9" w14:textId="77777777" w:rsidR="00C52E31" w:rsidRDefault="00C52E31" w:rsidP="00C52E31">
      <w:pPr>
        <w:ind w:right="-347"/>
        <w:jc w:val="both"/>
        <w:rPr>
          <w:rFonts w:ascii="Cambria" w:hAnsi="Cambria"/>
          <w:iCs/>
          <w:color w:val="000000" w:themeColor="text1"/>
          <w:sz w:val="23"/>
          <w:szCs w:val="23"/>
        </w:rPr>
      </w:pPr>
    </w:p>
    <w:p w14:paraId="6E985642" w14:textId="5704BC26" w:rsidR="00C52E31" w:rsidRPr="00D315F6" w:rsidRDefault="00C52E31" w:rsidP="00C52E31">
      <w:pPr>
        <w:ind w:right="-347"/>
        <w:jc w:val="both"/>
        <w:rPr>
          <w:rFonts w:ascii="Cambria" w:hAnsi="Cambria"/>
          <w:iCs/>
          <w:color w:val="000000" w:themeColor="text1"/>
          <w:sz w:val="23"/>
          <w:szCs w:val="23"/>
        </w:rPr>
      </w:pPr>
      <w:r w:rsidRPr="00D315F6">
        <w:rPr>
          <w:rFonts w:ascii="Cambria" w:hAnsi="Cambria"/>
          <w:iCs/>
          <w:color w:val="000000" w:themeColor="text1"/>
          <w:sz w:val="23"/>
          <w:szCs w:val="23"/>
        </w:rPr>
        <w:t>Benedict Bartl</w:t>
      </w:r>
      <w:r w:rsidRPr="00D315F6">
        <w:rPr>
          <w:rFonts w:ascii="Cambria" w:hAnsi="Cambria"/>
          <w:iCs/>
          <w:color w:val="000000" w:themeColor="text1"/>
          <w:sz w:val="23"/>
          <w:szCs w:val="23"/>
        </w:rPr>
        <w:tab/>
      </w:r>
    </w:p>
    <w:p w14:paraId="6532239A" w14:textId="01E7E523" w:rsidR="00C52E31" w:rsidRPr="00D315F6" w:rsidRDefault="00C52E31" w:rsidP="00C52E31">
      <w:pPr>
        <w:ind w:right="-347"/>
        <w:jc w:val="both"/>
        <w:rPr>
          <w:rFonts w:ascii="Cambria" w:hAnsi="Cambria"/>
          <w:iCs/>
          <w:color w:val="000000" w:themeColor="text1"/>
          <w:sz w:val="23"/>
          <w:szCs w:val="23"/>
        </w:rPr>
      </w:pPr>
      <w:r w:rsidRPr="00D315F6">
        <w:rPr>
          <w:rFonts w:ascii="Cambria" w:hAnsi="Cambria"/>
          <w:iCs/>
          <w:color w:val="000000" w:themeColor="text1"/>
          <w:sz w:val="23"/>
          <w:szCs w:val="23"/>
        </w:rPr>
        <w:t>Policy Officer</w:t>
      </w:r>
    </w:p>
    <w:p w14:paraId="62F934E9" w14:textId="5EDC9C07" w:rsidR="00C52E31" w:rsidRPr="00C52E31" w:rsidRDefault="00C52E31" w:rsidP="00C52E31">
      <w:pPr>
        <w:pBdr>
          <w:bottom w:val="single" w:sz="6" w:space="1" w:color="auto"/>
        </w:pBdr>
        <w:ind w:right="-347"/>
        <w:jc w:val="both"/>
        <w:rPr>
          <w:rFonts w:ascii="Cambria" w:hAnsi="Cambria"/>
          <w:b/>
          <w:bCs/>
          <w:iCs/>
          <w:color w:val="000000" w:themeColor="text1"/>
          <w:sz w:val="23"/>
          <w:szCs w:val="23"/>
        </w:rPr>
      </w:pPr>
      <w:r w:rsidRPr="00D315F6">
        <w:rPr>
          <w:rFonts w:ascii="Cambria" w:hAnsi="Cambria"/>
          <w:b/>
          <w:bCs/>
          <w:iCs/>
          <w:color w:val="000000" w:themeColor="text1"/>
          <w:sz w:val="23"/>
          <w:szCs w:val="23"/>
        </w:rPr>
        <w:t>Community Legal Centres Tasmani</w:t>
      </w:r>
      <w:r>
        <w:rPr>
          <w:rFonts w:ascii="Cambria" w:hAnsi="Cambria"/>
          <w:b/>
          <w:bCs/>
          <w:iCs/>
          <w:color w:val="000000" w:themeColor="text1"/>
          <w:sz w:val="23"/>
          <w:szCs w:val="23"/>
        </w:rPr>
        <w:t>a</w:t>
      </w:r>
    </w:p>
    <w:p w14:paraId="4ED87B3F" w14:textId="77777777" w:rsidR="00945097" w:rsidRPr="00945097" w:rsidRDefault="00945097" w:rsidP="00565680">
      <w:pPr>
        <w:pStyle w:val="NoSpacing"/>
        <w:rPr>
          <w:rFonts w:ascii="Cambria" w:hAnsi="Cambria"/>
        </w:rPr>
      </w:pPr>
    </w:p>
    <w:p w14:paraId="7D682922" w14:textId="77777777" w:rsidR="008F250D" w:rsidRDefault="008F250D" w:rsidP="008F250D">
      <w:pPr>
        <w:pStyle w:val="NoSpacing"/>
        <w:jc w:val="both"/>
        <w:rPr>
          <w:rFonts w:ascii="Cambria" w:hAnsi="Cambria"/>
          <w:iCs/>
          <w:color w:val="000000" w:themeColor="text1"/>
          <w:sz w:val="23"/>
          <w:szCs w:val="23"/>
        </w:rPr>
      </w:pPr>
    </w:p>
    <w:p w14:paraId="07C91FB5" w14:textId="77777777" w:rsidR="008F250D" w:rsidRDefault="008F250D"/>
    <w:p w14:paraId="0A0EEB08" w14:textId="77777777" w:rsidR="00DD5BF4" w:rsidRDefault="00DD5BF4"/>
    <w:p w14:paraId="45BC1294" w14:textId="77777777" w:rsidR="00D4271F" w:rsidRDefault="00D4271F" w:rsidP="00D4271F"/>
    <w:p w14:paraId="2A424199" w14:textId="77777777" w:rsidR="00294850" w:rsidRDefault="00294850" w:rsidP="00294850"/>
    <w:p w14:paraId="2E29C192" w14:textId="77777777" w:rsidR="00F6260F" w:rsidRDefault="00F6260F" w:rsidP="00F6260F"/>
    <w:p w14:paraId="0D45D106" w14:textId="77777777" w:rsidR="00D40150" w:rsidRDefault="00D40150" w:rsidP="005A2A0C"/>
    <w:p w14:paraId="58EAD836" w14:textId="77777777" w:rsidR="00D40150" w:rsidRDefault="00D40150" w:rsidP="005A2A0C"/>
    <w:sectPr w:rsidR="00D40150" w:rsidSect="00C52E31">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17D0" w14:textId="77777777" w:rsidR="003B0326" w:rsidRDefault="003B0326" w:rsidP="00C52E31">
      <w:r>
        <w:separator/>
      </w:r>
    </w:p>
  </w:endnote>
  <w:endnote w:type="continuationSeparator" w:id="0">
    <w:p w14:paraId="25DA1270" w14:textId="77777777" w:rsidR="003B0326" w:rsidRDefault="003B0326" w:rsidP="00C5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2863151"/>
      <w:docPartObj>
        <w:docPartGallery w:val="Page Numbers (Bottom of Page)"/>
        <w:docPartUnique/>
      </w:docPartObj>
    </w:sdtPr>
    <w:sdtContent>
      <w:p w14:paraId="1AB8062F" w14:textId="77777777" w:rsidR="00C52E31" w:rsidRDefault="00C52E31" w:rsidP="006E42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0D1FB2A" w14:textId="77777777" w:rsidR="00C52E31" w:rsidRDefault="00C52E31" w:rsidP="009F4A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1752136"/>
      <w:docPartObj>
        <w:docPartGallery w:val="Page Numbers (Bottom of Page)"/>
        <w:docPartUnique/>
      </w:docPartObj>
    </w:sdtPr>
    <w:sdtContent>
      <w:p w14:paraId="54210942" w14:textId="77777777" w:rsidR="00C52E31" w:rsidRDefault="00C52E31" w:rsidP="006E42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26D19E6" w14:textId="77777777" w:rsidR="00C52E31" w:rsidRDefault="00C52E31" w:rsidP="009F4A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DC8D" w14:textId="77777777" w:rsidR="003B0326" w:rsidRDefault="003B0326" w:rsidP="00C52E31">
      <w:r>
        <w:separator/>
      </w:r>
    </w:p>
  </w:footnote>
  <w:footnote w:type="continuationSeparator" w:id="0">
    <w:p w14:paraId="1CAAFE84" w14:textId="77777777" w:rsidR="003B0326" w:rsidRDefault="003B0326" w:rsidP="00C52E31">
      <w:r>
        <w:continuationSeparator/>
      </w:r>
    </w:p>
  </w:footnote>
  <w:footnote w:id="1">
    <w:p w14:paraId="79346DEC" w14:textId="77777777" w:rsidR="00C52E31" w:rsidRPr="00391AEA" w:rsidRDefault="00C52E31" w:rsidP="00C52E31">
      <w:pPr>
        <w:pStyle w:val="FootnoteText"/>
        <w:rPr>
          <w:rFonts w:ascii="Cambria" w:hAnsi="Cambria"/>
          <w:color w:val="000000" w:themeColor="text1"/>
          <w:sz w:val="20"/>
          <w:szCs w:val="20"/>
        </w:rPr>
      </w:pPr>
      <w:r w:rsidRPr="00391AEA">
        <w:rPr>
          <w:rStyle w:val="FootnoteReference"/>
          <w:rFonts w:ascii="Cambria" w:eastAsiaTheme="majorEastAsia" w:hAnsi="Cambria"/>
          <w:color w:val="000000" w:themeColor="text1"/>
          <w:sz w:val="20"/>
          <w:szCs w:val="20"/>
        </w:rPr>
        <w:footnoteRef/>
      </w:r>
      <w:r w:rsidRPr="00391AEA">
        <w:rPr>
          <w:rFonts w:ascii="Cambria" w:hAnsi="Cambria"/>
          <w:color w:val="000000" w:themeColor="text1"/>
          <w:sz w:val="20"/>
          <w:szCs w:val="20"/>
        </w:rPr>
        <w:t xml:space="preserve"> CLC Tas would like to acknowledge those persons and organisations who gave freely of their time in assisting with our submission. </w:t>
      </w:r>
    </w:p>
  </w:footnote>
  <w:footnote w:id="2">
    <w:p w14:paraId="02C8F1DD" w14:textId="075AB380" w:rsidR="00CC58C7" w:rsidRPr="00391AEA" w:rsidRDefault="00CC58C7">
      <w:pPr>
        <w:pStyle w:val="FootnoteText"/>
        <w:rPr>
          <w:rFonts w:ascii="Cambria" w:hAnsi="Cambria"/>
          <w:sz w:val="20"/>
          <w:szCs w:val="20"/>
        </w:rPr>
      </w:pPr>
      <w:r w:rsidRPr="00391AEA">
        <w:rPr>
          <w:rStyle w:val="FootnoteReference"/>
          <w:rFonts w:ascii="Cambria" w:hAnsi="Cambria"/>
          <w:sz w:val="20"/>
          <w:szCs w:val="20"/>
        </w:rPr>
        <w:footnoteRef/>
      </w:r>
      <w:r w:rsidRPr="00391AEA">
        <w:rPr>
          <w:rFonts w:ascii="Cambria" w:hAnsi="Cambria"/>
          <w:sz w:val="20"/>
          <w:szCs w:val="20"/>
        </w:rPr>
        <w:t xml:space="preserve"> Section 6 of the </w:t>
      </w:r>
      <w:r w:rsidRPr="00391AEA">
        <w:rPr>
          <w:rFonts w:ascii="Cambria" w:hAnsi="Cambria"/>
          <w:i/>
          <w:color w:val="000000" w:themeColor="text1"/>
          <w:sz w:val="20"/>
          <w:szCs w:val="20"/>
        </w:rPr>
        <w:t>End-of-Life Choices (Voluntary Assisted Dying) Act 2021</w:t>
      </w:r>
      <w:r w:rsidRPr="00391AEA">
        <w:rPr>
          <w:rFonts w:ascii="Cambria" w:hAnsi="Cambria"/>
          <w:iCs/>
          <w:color w:val="000000" w:themeColor="text1"/>
          <w:sz w:val="20"/>
          <w:szCs w:val="20"/>
        </w:rPr>
        <w:t xml:space="preserve"> (Tas).</w:t>
      </w:r>
      <w:r w:rsidR="005D7D01" w:rsidRPr="00391AEA">
        <w:rPr>
          <w:rFonts w:ascii="Cambria" w:hAnsi="Cambria"/>
          <w:iCs/>
          <w:color w:val="000000" w:themeColor="text1"/>
          <w:sz w:val="20"/>
          <w:szCs w:val="20"/>
        </w:rPr>
        <w:t xml:space="preserve"> A neurodegenerative disease is not defined in the Act but commonly includes Parkinson’s disease, Alzheimer’s disease, Motor neurone disease and Huntington’s disease.  </w:t>
      </w:r>
      <w:r w:rsidRPr="00391AEA">
        <w:rPr>
          <w:rFonts w:ascii="Cambria" w:hAnsi="Cambria"/>
          <w:iCs/>
          <w:color w:val="000000" w:themeColor="text1"/>
          <w:sz w:val="20"/>
          <w:szCs w:val="20"/>
        </w:rPr>
        <w:t xml:space="preserve"> </w:t>
      </w:r>
      <w:r w:rsidRPr="00391AEA">
        <w:rPr>
          <w:rFonts w:ascii="Cambria" w:hAnsi="Cambria"/>
          <w:sz w:val="20"/>
          <w:szCs w:val="20"/>
        </w:rPr>
        <w:t xml:space="preserve"> </w:t>
      </w:r>
    </w:p>
  </w:footnote>
  <w:footnote w:id="3">
    <w:p w14:paraId="02243BAD" w14:textId="77777777" w:rsidR="00762FBE" w:rsidRPr="00391AEA" w:rsidRDefault="00762FBE" w:rsidP="00762FBE">
      <w:pPr>
        <w:pStyle w:val="FootnoteText"/>
        <w:rPr>
          <w:rFonts w:ascii="Cambria" w:hAnsi="Cambria"/>
          <w:sz w:val="20"/>
          <w:szCs w:val="20"/>
        </w:rPr>
      </w:pPr>
      <w:r w:rsidRPr="00391AEA">
        <w:rPr>
          <w:rStyle w:val="FootnoteReference"/>
          <w:rFonts w:ascii="Cambria" w:hAnsi="Cambria"/>
          <w:sz w:val="20"/>
          <w:szCs w:val="20"/>
        </w:rPr>
        <w:footnoteRef/>
      </w:r>
      <w:r w:rsidRPr="00391AEA">
        <w:rPr>
          <w:rFonts w:ascii="Cambria" w:hAnsi="Cambria"/>
          <w:sz w:val="20"/>
          <w:szCs w:val="20"/>
        </w:rPr>
        <w:t xml:space="preserve"> Section 10(1)(a)(ii) of the </w:t>
      </w:r>
      <w:r w:rsidRPr="00391AEA">
        <w:rPr>
          <w:rFonts w:ascii="Cambria" w:hAnsi="Cambria"/>
          <w:i/>
          <w:iCs/>
          <w:sz w:val="20"/>
          <w:szCs w:val="20"/>
        </w:rPr>
        <w:t xml:space="preserve">Voluntary Assisted Dying Act 2021 </w:t>
      </w:r>
      <w:r w:rsidRPr="00391AEA">
        <w:rPr>
          <w:rFonts w:ascii="Cambria" w:hAnsi="Cambria"/>
          <w:sz w:val="20"/>
          <w:szCs w:val="20"/>
        </w:rPr>
        <w:t xml:space="preserve">(Qld). </w:t>
      </w:r>
    </w:p>
  </w:footnote>
  <w:footnote w:id="4">
    <w:p w14:paraId="216FEDCE" w14:textId="77777777" w:rsidR="00D4088E" w:rsidRPr="00391AEA" w:rsidRDefault="00D4088E" w:rsidP="00D4088E">
      <w:pPr>
        <w:pStyle w:val="FootnoteText"/>
        <w:rPr>
          <w:rFonts w:ascii="Cambria" w:hAnsi="Cambria"/>
          <w:sz w:val="20"/>
          <w:szCs w:val="20"/>
        </w:rPr>
      </w:pPr>
      <w:r w:rsidRPr="00391AEA">
        <w:rPr>
          <w:rStyle w:val="FootnoteReference"/>
          <w:rFonts w:ascii="Cambria" w:hAnsi="Cambria"/>
          <w:sz w:val="20"/>
          <w:szCs w:val="20"/>
        </w:rPr>
        <w:footnoteRef/>
      </w:r>
      <w:r w:rsidRPr="00391AEA">
        <w:rPr>
          <w:rFonts w:ascii="Cambria" w:hAnsi="Cambria"/>
          <w:sz w:val="20"/>
          <w:szCs w:val="20"/>
        </w:rPr>
        <w:t xml:space="preserve"> Voluntary Assisted Dying Review Board, </w:t>
      </w:r>
      <w:r w:rsidRPr="00391AEA">
        <w:rPr>
          <w:rFonts w:ascii="Cambria" w:hAnsi="Cambria"/>
          <w:i/>
          <w:iCs/>
          <w:sz w:val="20"/>
          <w:szCs w:val="20"/>
        </w:rPr>
        <w:t>Annual Report 2024-25</w:t>
      </w:r>
      <w:r w:rsidRPr="00391AEA">
        <w:rPr>
          <w:rFonts w:ascii="Cambria" w:hAnsi="Cambria"/>
          <w:sz w:val="20"/>
          <w:szCs w:val="20"/>
        </w:rPr>
        <w:t xml:space="preserve"> (October 2025) at 6. As found at </w:t>
      </w:r>
      <w:hyperlink r:id="rId1" w:history="1">
        <w:r w:rsidRPr="00391AEA">
          <w:rPr>
            <w:rStyle w:val="Hyperlink"/>
            <w:rFonts w:ascii="Cambria" w:hAnsi="Cambria"/>
            <w:sz w:val="20"/>
            <w:szCs w:val="20"/>
          </w:rPr>
          <w:t>https://content.health.vic.gov.au/sites/default/files/2025-10/voluntary-assisted-dying-review-board-annual-report-2024-25.pdf</w:t>
        </w:r>
      </w:hyperlink>
      <w:r w:rsidRPr="00391AEA">
        <w:rPr>
          <w:rFonts w:ascii="Cambria" w:hAnsi="Cambria"/>
          <w:sz w:val="20"/>
          <w:szCs w:val="20"/>
        </w:rPr>
        <w:t xml:space="preserve"> (accessed 27 May 2026). </w:t>
      </w:r>
    </w:p>
  </w:footnote>
  <w:footnote w:id="5">
    <w:p w14:paraId="1A98843A" w14:textId="77777777" w:rsidR="005D7D01" w:rsidRPr="00391AEA" w:rsidRDefault="005D7D01" w:rsidP="005D7D01">
      <w:pPr>
        <w:pStyle w:val="FootnoteText"/>
        <w:rPr>
          <w:rFonts w:ascii="Cambria" w:hAnsi="Cambria"/>
          <w:sz w:val="20"/>
          <w:szCs w:val="20"/>
        </w:rPr>
      </w:pPr>
      <w:r w:rsidRPr="00391AEA">
        <w:rPr>
          <w:rStyle w:val="FootnoteReference"/>
          <w:rFonts w:ascii="Cambria" w:hAnsi="Cambria"/>
          <w:sz w:val="20"/>
          <w:szCs w:val="20"/>
        </w:rPr>
        <w:footnoteRef/>
      </w:r>
      <w:r w:rsidRPr="00391AEA">
        <w:rPr>
          <w:rFonts w:ascii="Cambria" w:hAnsi="Cambria"/>
          <w:sz w:val="20"/>
          <w:szCs w:val="20"/>
        </w:rPr>
        <w:t xml:space="preserve"> The Voluntary Assisted Dying Amendment Bill 2025 (Vic) received Royal Assent on 25 November 2025. However, the amendments will probably not commence until April 2027 after an 18-month implementation period: Department of Health, ‘Voluntary Assisted Dying Act’. As found at </w:t>
      </w:r>
      <w:hyperlink r:id="rId2" w:history="1">
        <w:r w:rsidRPr="00391AEA">
          <w:rPr>
            <w:rStyle w:val="Hyperlink"/>
            <w:rFonts w:ascii="Cambria" w:hAnsi="Cambria"/>
            <w:sz w:val="20"/>
            <w:szCs w:val="20"/>
          </w:rPr>
          <w:t>https://www.health.vic.gov.au/legislation/voluntary-assisted-dying-act</w:t>
        </w:r>
      </w:hyperlink>
      <w:r w:rsidRPr="00391AEA">
        <w:rPr>
          <w:rFonts w:ascii="Cambria" w:hAnsi="Cambria"/>
          <w:sz w:val="20"/>
          <w:szCs w:val="20"/>
        </w:rPr>
        <w:t xml:space="preserve"> (accessed 27 May 2026).   </w:t>
      </w:r>
    </w:p>
  </w:footnote>
  <w:footnote w:id="6">
    <w:p w14:paraId="43341861" w14:textId="408E4A18" w:rsidR="00A6355A" w:rsidRPr="00391AEA" w:rsidRDefault="00A6355A">
      <w:pPr>
        <w:pStyle w:val="FootnoteText"/>
        <w:rPr>
          <w:rFonts w:ascii="Cambria" w:hAnsi="Cambria"/>
          <w:sz w:val="20"/>
          <w:szCs w:val="20"/>
        </w:rPr>
      </w:pPr>
      <w:r w:rsidRPr="00391AEA">
        <w:rPr>
          <w:rStyle w:val="FootnoteReference"/>
          <w:rFonts w:ascii="Cambria" w:hAnsi="Cambria"/>
          <w:sz w:val="20"/>
          <w:szCs w:val="20"/>
        </w:rPr>
        <w:footnoteRef/>
      </w:r>
      <w:r w:rsidRPr="00391AEA">
        <w:rPr>
          <w:rFonts w:ascii="Cambria" w:hAnsi="Cambria"/>
          <w:sz w:val="20"/>
          <w:szCs w:val="20"/>
        </w:rPr>
        <w:t xml:space="preserve"> Australian Bureau of Statistics, ‘Regional population</w:t>
      </w:r>
      <w:r w:rsidR="00593071" w:rsidRPr="00391AEA">
        <w:rPr>
          <w:rFonts w:ascii="Cambria" w:hAnsi="Cambria"/>
          <w:sz w:val="20"/>
          <w:szCs w:val="20"/>
        </w:rPr>
        <w:t>’</w:t>
      </w:r>
      <w:r w:rsidRPr="00391AEA">
        <w:rPr>
          <w:rFonts w:ascii="Cambria" w:hAnsi="Cambria"/>
          <w:sz w:val="20"/>
          <w:szCs w:val="20"/>
        </w:rPr>
        <w:t xml:space="preserve">. As found at </w:t>
      </w:r>
      <w:hyperlink r:id="rId3" w:history="1">
        <w:r w:rsidRPr="00391AEA">
          <w:rPr>
            <w:rStyle w:val="Hyperlink"/>
            <w:rFonts w:ascii="Cambria" w:hAnsi="Cambria"/>
            <w:sz w:val="20"/>
            <w:szCs w:val="20"/>
          </w:rPr>
          <w:t>https://www.abs.gov.au/statistics/people/population/regional-population/latest-release</w:t>
        </w:r>
      </w:hyperlink>
      <w:r w:rsidRPr="00391AEA">
        <w:rPr>
          <w:rFonts w:ascii="Cambria" w:hAnsi="Cambria"/>
          <w:sz w:val="20"/>
          <w:szCs w:val="20"/>
        </w:rPr>
        <w:t xml:space="preserve"> (accessed 8 June 2026). </w:t>
      </w:r>
    </w:p>
  </w:footnote>
  <w:footnote w:id="7">
    <w:p w14:paraId="3FC0AAE2" w14:textId="21C80D59" w:rsidR="00593071" w:rsidRPr="00391AEA" w:rsidRDefault="00593071">
      <w:pPr>
        <w:pStyle w:val="FootnoteText"/>
        <w:rPr>
          <w:rFonts w:ascii="Cambria" w:hAnsi="Cambria"/>
          <w:sz w:val="20"/>
          <w:szCs w:val="20"/>
        </w:rPr>
      </w:pPr>
      <w:r w:rsidRPr="00391AEA">
        <w:rPr>
          <w:rStyle w:val="FootnoteReference"/>
          <w:rFonts w:ascii="Cambria" w:hAnsi="Cambria"/>
          <w:sz w:val="20"/>
          <w:szCs w:val="20"/>
        </w:rPr>
        <w:footnoteRef/>
      </w:r>
      <w:r w:rsidR="00EA2123" w:rsidRPr="00391AEA">
        <w:rPr>
          <w:rFonts w:ascii="Cambria" w:hAnsi="Cambria"/>
          <w:sz w:val="20"/>
          <w:szCs w:val="20"/>
        </w:rPr>
        <w:t xml:space="preserve"> </w:t>
      </w:r>
      <w:r w:rsidRPr="00391AEA">
        <w:rPr>
          <w:rFonts w:ascii="Cambria" w:hAnsi="Cambria"/>
          <w:sz w:val="20"/>
          <w:szCs w:val="20"/>
        </w:rPr>
        <w:t xml:space="preserve">According to the Australian Bureau of Statistics, </w:t>
      </w:r>
      <w:r w:rsidR="00EA2123" w:rsidRPr="00391AEA">
        <w:rPr>
          <w:rFonts w:ascii="Cambria" w:hAnsi="Cambria"/>
          <w:sz w:val="20"/>
          <w:szCs w:val="20"/>
        </w:rPr>
        <w:t xml:space="preserve">44 per cent of Tasmanians live in Hobart with the 2021 Census reporting </w:t>
      </w:r>
      <w:r w:rsidRPr="00391AEA">
        <w:rPr>
          <w:rFonts w:ascii="Cambria" w:hAnsi="Cambria"/>
          <w:sz w:val="20"/>
          <w:szCs w:val="20"/>
        </w:rPr>
        <w:t>247,086 people liv</w:t>
      </w:r>
      <w:r w:rsidR="00EA2123" w:rsidRPr="00391AEA">
        <w:rPr>
          <w:rFonts w:ascii="Cambria" w:hAnsi="Cambria"/>
          <w:sz w:val="20"/>
          <w:szCs w:val="20"/>
        </w:rPr>
        <w:t>ing</w:t>
      </w:r>
      <w:r w:rsidRPr="00391AEA">
        <w:rPr>
          <w:rFonts w:ascii="Cambria" w:hAnsi="Cambria"/>
          <w:sz w:val="20"/>
          <w:szCs w:val="20"/>
        </w:rPr>
        <w:t xml:space="preserve"> in Hobart </w:t>
      </w:r>
      <w:r w:rsidR="00EA2123" w:rsidRPr="00391AEA">
        <w:rPr>
          <w:rFonts w:ascii="Cambria" w:hAnsi="Cambria"/>
          <w:sz w:val="20"/>
          <w:szCs w:val="20"/>
        </w:rPr>
        <w:t xml:space="preserve">and 557,571 living in Tasmania: </w:t>
      </w:r>
      <w:r w:rsidRPr="00391AEA">
        <w:rPr>
          <w:rFonts w:ascii="Cambria" w:hAnsi="Cambria"/>
          <w:sz w:val="20"/>
          <w:szCs w:val="20"/>
        </w:rPr>
        <w:t>Australian Bureau of Statistics, ‘</w:t>
      </w:r>
      <w:proofErr w:type="spellStart"/>
      <w:r w:rsidRPr="00391AEA">
        <w:rPr>
          <w:rFonts w:ascii="Cambria" w:hAnsi="Cambria"/>
          <w:sz w:val="20"/>
          <w:szCs w:val="20"/>
        </w:rPr>
        <w:t>Quickstats</w:t>
      </w:r>
      <w:proofErr w:type="spellEnd"/>
      <w:r w:rsidRPr="00391AEA">
        <w:rPr>
          <w:rFonts w:ascii="Cambria" w:hAnsi="Cambria"/>
          <w:sz w:val="20"/>
          <w:szCs w:val="20"/>
        </w:rPr>
        <w:t xml:space="preserve">’. As found at </w:t>
      </w:r>
      <w:hyperlink r:id="rId4" w:history="1">
        <w:r w:rsidRPr="00391AEA">
          <w:rPr>
            <w:rStyle w:val="Hyperlink"/>
            <w:rFonts w:ascii="Cambria" w:hAnsi="Cambria"/>
            <w:sz w:val="20"/>
            <w:szCs w:val="20"/>
          </w:rPr>
          <w:t>https://www.abs.gov.au/census/find-census-data/quickstats/2021/6</w:t>
        </w:r>
      </w:hyperlink>
      <w:r w:rsidRPr="00391AEA">
        <w:rPr>
          <w:rFonts w:ascii="Cambria" w:hAnsi="Cambria"/>
          <w:sz w:val="20"/>
          <w:szCs w:val="20"/>
        </w:rPr>
        <w:t xml:space="preserve"> (accessed 8 June 2026).</w:t>
      </w:r>
    </w:p>
  </w:footnote>
  <w:footnote w:id="8">
    <w:p w14:paraId="78EC160E" w14:textId="77777777" w:rsidR="008F4715" w:rsidRPr="00391AEA" w:rsidRDefault="008F4715" w:rsidP="008F4715">
      <w:pPr>
        <w:pStyle w:val="FootnoteText"/>
        <w:rPr>
          <w:rFonts w:ascii="Cambria" w:hAnsi="Cambria"/>
          <w:sz w:val="20"/>
          <w:szCs w:val="20"/>
        </w:rPr>
      </w:pPr>
      <w:r w:rsidRPr="00391AEA">
        <w:rPr>
          <w:rStyle w:val="FootnoteReference"/>
          <w:rFonts w:ascii="Cambria" w:hAnsi="Cambria"/>
          <w:sz w:val="20"/>
          <w:szCs w:val="20"/>
        </w:rPr>
        <w:footnoteRef/>
      </w:r>
      <w:r w:rsidRPr="00391AEA">
        <w:rPr>
          <w:rFonts w:ascii="Cambria" w:hAnsi="Cambria"/>
          <w:sz w:val="20"/>
          <w:szCs w:val="20"/>
        </w:rPr>
        <w:t xml:space="preserve"> Section 9 of the </w:t>
      </w:r>
      <w:r w:rsidRPr="00391AEA">
        <w:rPr>
          <w:rFonts w:ascii="Cambria" w:hAnsi="Cambria"/>
          <w:i/>
          <w:iCs/>
          <w:sz w:val="20"/>
          <w:szCs w:val="20"/>
        </w:rPr>
        <w:t>End-of-Life Choices (Voluntary Assisted Dying) Act 2021</w:t>
      </w:r>
      <w:r w:rsidRPr="00391AEA">
        <w:rPr>
          <w:rFonts w:ascii="Cambria" w:hAnsi="Cambria"/>
          <w:sz w:val="20"/>
          <w:szCs w:val="20"/>
        </w:rPr>
        <w:t xml:space="preserve"> (Tas).  </w:t>
      </w:r>
    </w:p>
  </w:footnote>
  <w:footnote w:id="9">
    <w:p w14:paraId="7DA3B56A" w14:textId="6F02D271" w:rsidR="00FA6243" w:rsidRPr="00391AEA" w:rsidRDefault="00FA6243">
      <w:pPr>
        <w:pStyle w:val="FootnoteText"/>
        <w:rPr>
          <w:rFonts w:ascii="Cambria" w:hAnsi="Cambria"/>
          <w:sz w:val="20"/>
          <w:szCs w:val="20"/>
        </w:rPr>
      </w:pPr>
      <w:r w:rsidRPr="00391AEA">
        <w:rPr>
          <w:rStyle w:val="FootnoteReference"/>
          <w:rFonts w:ascii="Cambria" w:hAnsi="Cambria"/>
          <w:sz w:val="20"/>
          <w:szCs w:val="20"/>
        </w:rPr>
        <w:footnoteRef/>
      </w:r>
      <w:r w:rsidRPr="00391AEA">
        <w:rPr>
          <w:rFonts w:ascii="Cambria" w:hAnsi="Cambria"/>
          <w:sz w:val="20"/>
          <w:szCs w:val="20"/>
        </w:rPr>
        <w:t xml:space="preserve"> Section 10(1) of the </w:t>
      </w:r>
      <w:r w:rsidRPr="00391AEA">
        <w:rPr>
          <w:rFonts w:ascii="Cambria" w:hAnsi="Cambria"/>
          <w:i/>
          <w:iCs/>
          <w:sz w:val="20"/>
          <w:szCs w:val="20"/>
        </w:rPr>
        <w:t>Voluntary Assisted Dying Act 2017</w:t>
      </w:r>
      <w:r w:rsidRPr="00391AEA">
        <w:rPr>
          <w:rFonts w:ascii="Cambria" w:hAnsi="Cambria"/>
          <w:sz w:val="20"/>
          <w:szCs w:val="20"/>
        </w:rPr>
        <w:t xml:space="preserve"> (Vic).</w:t>
      </w:r>
      <w:r w:rsidR="00CA1E7F" w:rsidRPr="00391AEA">
        <w:rPr>
          <w:rFonts w:ascii="Cambria" w:hAnsi="Cambria"/>
          <w:sz w:val="20"/>
          <w:szCs w:val="20"/>
        </w:rPr>
        <w:t xml:space="preserve"> </w:t>
      </w:r>
      <w:r w:rsidR="00CA1E7F" w:rsidRPr="00391AEA">
        <w:rPr>
          <w:rFonts w:ascii="Cambria" w:hAnsi="Cambria"/>
          <w:sz w:val="20"/>
          <w:szCs w:val="20"/>
        </w:rPr>
        <w:t>Section 10(2) of the</w:t>
      </w:r>
      <w:r w:rsidR="00CA1E7F" w:rsidRPr="00391AEA">
        <w:rPr>
          <w:rFonts w:ascii="Cambria" w:hAnsi="Cambria"/>
          <w:sz w:val="20"/>
          <w:szCs w:val="20"/>
        </w:rPr>
        <w:t xml:space="preserve"> Act goes on to prescribe that</w:t>
      </w:r>
      <w:r w:rsidR="00CA1E7F" w:rsidRPr="00391AEA">
        <w:rPr>
          <w:rFonts w:ascii="Cambria" w:hAnsi="Cambria"/>
          <w:sz w:val="20"/>
          <w:szCs w:val="20"/>
        </w:rPr>
        <w:t xml:space="preserve"> participants are required to obtain two medical assessments and at least one of the authorised medical practitioners “must have practiced as a registered medical practitioner for at least five years after completing a fellowship with a specialist medical college or vocational registration”.</w:t>
      </w:r>
      <w:r w:rsidRPr="00391AEA">
        <w:rPr>
          <w:rFonts w:ascii="Cambria" w:hAnsi="Cambria"/>
          <w:sz w:val="20"/>
          <w:szCs w:val="20"/>
        </w:rPr>
        <w:t xml:space="preserve">  </w:t>
      </w:r>
    </w:p>
  </w:footnote>
  <w:footnote w:id="10">
    <w:p w14:paraId="667776DB" w14:textId="0458DCF9" w:rsidR="009F31E2" w:rsidRPr="00391AEA" w:rsidRDefault="009F31E2">
      <w:pPr>
        <w:pStyle w:val="FootnoteText"/>
        <w:rPr>
          <w:rFonts w:ascii="Cambria" w:hAnsi="Cambria"/>
          <w:sz w:val="20"/>
          <w:szCs w:val="20"/>
        </w:rPr>
      </w:pPr>
      <w:r w:rsidRPr="00391AEA">
        <w:rPr>
          <w:rStyle w:val="FootnoteReference"/>
          <w:rFonts w:ascii="Cambria" w:hAnsi="Cambria"/>
          <w:sz w:val="20"/>
          <w:szCs w:val="20"/>
        </w:rPr>
        <w:footnoteRef/>
      </w:r>
      <w:r w:rsidRPr="00391AEA">
        <w:rPr>
          <w:rFonts w:ascii="Cambria" w:hAnsi="Cambria"/>
          <w:sz w:val="20"/>
          <w:szCs w:val="20"/>
        </w:rPr>
        <w:t xml:space="preserve"> Australian Bureau of Statistics, ‘Patient Experiences 2024-25’. As found at </w:t>
      </w:r>
      <w:hyperlink r:id="rId5" w:history="1">
        <w:r w:rsidRPr="00391AEA">
          <w:rPr>
            <w:rStyle w:val="Hyperlink"/>
            <w:rFonts w:ascii="Cambria" w:hAnsi="Cambria"/>
            <w:sz w:val="20"/>
            <w:szCs w:val="20"/>
          </w:rPr>
          <w:t>https://www.abs.gov.au/statistics/health/health-services/patient-experiences/latest-release</w:t>
        </w:r>
      </w:hyperlink>
      <w:r w:rsidRPr="00391AEA">
        <w:rPr>
          <w:rFonts w:ascii="Cambria" w:hAnsi="Cambria"/>
          <w:sz w:val="20"/>
          <w:szCs w:val="20"/>
        </w:rPr>
        <w:t xml:space="preserve"> (accessed 24 June 2026).  </w:t>
      </w:r>
    </w:p>
  </w:footnote>
  <w:footnote w:id="11">
    <w:p w14:paraId="2E0D501A" w14:textId="4B827329" w:rsidR="000E43AE" w:rsidRPr="00391AEA" w:rsidRDefault="000E43AE">
      <w:pPr>
        <w:pStyle w:val="FootnoteText"/>
        <w:rPr>
          <w:rFonts w:ascii="Cambria" w:hAnsi="Cambria"/>
          <w:i/>
          <w:iCs/>
          <w:sz w:val="20"/>
          <w:szCs w:val="20"/>
        </w:rPr>
      </w:pPr>
      <w:r w:rsidRPr="00391AEA">
        <w:rPr>
          <w:rStyle w:val="FootnoteReference"/>
          <w:rFonts w:ascii="Cambria" w:hAnsi="Cambria"/>
          <w:sz w:val="20"/>
          <w:szCs w:val="20"/>
        </w:rPr>
        <w:footnoteRef/>
      </w:r>
      <w:r w:rsidRPr="00391AEA">
        <w:rPr>
          <w:rFonts w:ascii="Cambria" w:hAnsi="Cambria"/>
          <w:sz w:val="20"/>
          <w:szCs w:val="20"/>
        </w:rPr>
        <w:t xml:space="preserve"> </w:t>
      </w:r>
      <w:r w:rsidRPr="00391AEA">
        <w:rPr>
          <w:rStyle w:val="Emphasis"/>
          <w:rFonts w:ascii="Cambria" w:hAnsi="Cambria" w:cs="Segoe UI"/>
          <w:i w:val="0"/>
          <w:iCs w:val="0"/>
          <w:sz w:val="20"/>
          <w:szCs w:val="20"/>
        </w:rPr>
        <w:t>[2023] FCA 1500</w:t>
      </w:r>
      <w:r w:rsidRPr="00391AEA">
        <w:rPr>
          <w:rStyle w:val="Emphasis"/>
          <w:rFonts w:ascii="Cambria" w:hAnsi="Cambria" w:cs="Segoe UI"/>
          <w:i w:val="0"/>
          <w:iCs w:val="0"/>
          <w:sz w:val="20"/>
          <w:szCs w:val="20"/>
        </w:rPr>
        <w:t xml:space="preserve">. </w:t>
      </w:r>
    </w:p>
  </w:footnote>
  <w:footnote w:id="12">
    <w:p w14:paraId="11156831" w14:textId="6958AD07" w:rsidR="00565680" w:rsidRPr="00391AEA" w:rsidRDefault="00565680">
      <w:pPr>
        <w:pStyle w:val="FootnoteText"/>
        <w:rPr>
          <w:rFonts w:ascii="Cambria" w:hAnsi="Cambria"/>
          <w:sz w:val="20"/>
          <w:szCs w:val="20"/>
        </w:rPr>
      </w:pPr>
      <w:r w:rsidRPr="00391AEA">
        <w:rPr>
          <w:rStyle w:val="FootnoteReference"/>
          <w:rFonts w:ascii="Cambria" w:hAnsi="Cambria"/>
          <w:sz w:val="20"/>
          <w:szCs w:val="20"/>
        </w:rPr>
        <w:footnoteRef/>
      </w:r>
      <w:r w:rsidRPr="00391AEA">
        <w:rPr>
          <w:rFonts w:ascii="Cambria" w:hAnsi="Cambria"/>
          <w:sz w:val="20"/>
          <w:szCs w:val="20"/>
        </w:rPr>
        <w:t xml:space="preserve"> Also see </w:t>
      </w:r>
      <w:r w:rsidRPr="00391AEA">
        <w:rPr>
          <w:rFonts w:ascii="Cambria" w:hAnsi="Cambria"/>
          <w:sz w:val="20"/>
          <w:szCs w:val="20"/>
        </w:rPr>
        <w:t>section 474.29</w:t>
      </w:r>
      <w:r w:rsidRPr="00391AEA">
        <w:rPr>
          <w:rFonts w:ascii="Cambria" w:hAnsi="Cambria"/>
          <w:sz w:val="20"/>
          <w:szCs w:val="20"/>
        </w:rPr>
        <w:t>B</w:t>
      </w:r>
      <w:r w:rsidRPr="00391AEA">
        <w:rPr>
          <w:rFonts w:ascii="Cambria" w:hAnsi="Cambria"/>
          <w:sz w:val="20"/>
          <w:szCs w:val="20"/>
        </w:rPr>
        <w:t xml:space="preserve"> of the </w:t>
      </w:r>
      <w:r w:rsidRPr="00391AEA">
        <w:rPr>
          <w:rFonts w:ascii="Cambria" w:hAnsi="Cambria"/>
          <w:i/>
          <w:iCs/>
          <w:sz w:val="20"/>
          <w:szCs w:val="20"/>
        </w:rPr>
        <w:t>Criminal Code Act 1995</w:t>
      </w:r>
      <w:r w:rsidRPr="00391AEA">
        <w:rPr>
          <w:rFonts w:ascii="Cambria" w:hAnsi="Cambria"/>
          <w:sz w:val="20"/>
          <w:szCs w:val="20"/>
        </w:rPr>
        <w:t xml:space="preserve"> (</w:t>
      </w:r>
      <w:proofErr w:type="spellStart"/>
      <w:r w:rsidRPr="00391AEA">
        <w:rPr>
          <w:rFonts w:ascii="Cambria" w:hAnsi="Cambria"/>
          <w:sz w:val="20"/>
          <w:szCs w:val="20"/>
        </w:rPr>
        <w:t>Cth</w:t>
      </w:r>
      <w:proofErr w:type="spellEnd"/>
      <w:r w:rsidRPr="00391AEA">
        <w:rPr>
          <w:rFonts w:ascii="Cambria" w:hAnsi="Cambria"/>
          <w:sz w:val="20"/>
          <w:szCs w:val="20"/>
        </w:rPr>
        <w:t>)</w:t>
      </w:r>
      <w:r w:rsidRPr="00391AEA">
        <w:rPr>
          <w:rFonts w:ascii="Cambria" w:hAnsi="Cambria"/>
          <w:sz w:val="20"/>
          <w:szCs w:val="20"/>
        </w:rPr>
        <w:t xml:space="preserve">. </w:t>
      </w:r>
      <w:r w:rsidRPr="00391AEA">
        <w:rPr>
          <w:rFonts w:ascii="Cambria" w:hAnsi="Cambria"/>
          <w:sz w:val="20"/>
          <w:szCs w:val="20"/>
        </w:rPr>
        <w:t xml:space="preserve"> </w:t>
      </w:r>
      <w:r w:rsidRPr="00391AEA">
        <w:rPr>
          <w:rFonts w:ascii="Cambria" w:hAnsi="Cambria"/>
          <w:sz w:val="20"/>
          <w:szCs w:val="20"/>
        </w:rPr>
        <w:t xml:space="preserve"> </w:t>
      </w:r>
    </w:p>
  </w:footnote>
  <w:footnote w:id="13">
    <w:p w14:paraId="0EA153F6" w14:textId="22E4D254" w:rsidR="00C13DB9" w:rsidRPr="00391AEA" w:rsidRDefault="00C13DB9">
      <w:pPr>
        <w:pStyle w:val="FootnoteText"/>
        <w:rPr>
          <w:rFonts w:ascii="Cambria" w:hAnsi="Cambria"/>
          <w:sz w:val="20"/>
          <w:szCs w:val="20"/>
        </w:rPr>
      </w:pPr>
      <w:r w:rsidRPr="00391AEA">
        <w:rPr>
          <w:rStyle w:val="FootnoteReference"/>
          <w:rFonts w:ascii="Cambria" w:hAnsi="Cambria"/>
          <w:sz w:val="20"/>
          <w:szCs w:val="20"/>
        </w:rPr>
        <w:footnoteRef/>
      </w:r>
      <w:r w:rsidRPr="00391AEA">
        <w:rPr>
          <w:rFonts w:ascii="Cambria" w:hAnsi="Cambria"/>
          <w:sz w:val="20"/>
          <w:szCs w:val="20"/>
        </w:rPr>
        <w:t xml:space="preserve"> </w:t>
      </w:r>
      <w:r w:rsidRPr="00391AEA">
        <w:rPr>
          <w:rStyle w:val="Emphasis"/>
          <w:rFonts w:ascii="Cambria" w:hAnsi="Cambria" w:cs="Segoe UI"/>
          <w:sz w:val="20"/>
          <w:szCs w:val="20"/>
        </w:rPr>
        <w:t>Carr v Attorney</w:t>
      </w:r>
      <w:r w:rsidRPr="00391AEA">
        <w:rPr>
          <w:rStyle w:val="Emphasis"/>
          <w:rFonts w:ascii="Cambria" w:hAnsi="Cambria" w:cs="Segoe UI"/>
          <w:sz w:val="20"/>
          <w:szCs w:val="20"/>
        </w:rPr>
        <w:noBreakHyphen/>
        <w:t>General (</w:t>
      </w:r>
      <w:proofErr w:type="spellStart"/>
      <w:r w:rsidRPr="00391AEA">
        <w:rPr>
          <w:rStyle w:val="Emphasis"/>
          <w:rFonts w:ascii="Cambria" w:hAnsi="Cambria" w:cs="Segoe UI"/>
          <w:sz w:val="20"/>
          <w:szCs w:val="20"/>
        </w:rPr>
        <w:t>Cth</w:t>
      </w:r>
      <w:proofErr w:type="spellEnd"/>
      <w:r w:rsidRPr="00391AEA">
        <w:rPr>
          <w:rStyle w:val="Emphasis"/>
          <w:rFonts w:ascii="Cambria" w:hAnsi="Cambria" w:cs="Segoe UI"/>
          <w:sz w:val="20"/>
          <w:szCs w:val="20"/>
        </w:rPr>
        <w:t>)</w:t>
      </w:r>
      <w:r w:rsidRPr="00391AEA">
        <w:rPr>
          <w:rStyle w:val="Emphasis"/>
          <w:rFonts w:ascii="Cambria" w:hAnsi="Cambria" w:cs="Segoe UI"/>
          <w:i w:val="0"/>
          <w:iCs w:val="0"/>
          <w:sz w:val="20"/>
          <w:szCs w:val="20"/>
        </w:rPr>
        <w:t xml:space="preserve"> </w:t>
      </w:r>
      <w:r w:rsidRPr="00391AEA">
        <w:rPr>
          <w:rStyle w:val="Emphasis"/>
          <w:rFonts w:ascii="Cambria" w:hAnsi="Cambria" w:cs="Segoe UI"/>
          <w:i w:val="0"/>
          <w:iCs w:val="0"/>
          <w:sz w:val="20"/>
          <w:szCs w:val="20"/>
        </w:rPr>
        <w:t>[2023] FCA 1500</w:t>
      </w:r>
      <w:r w:rsidRPr="00391AEA">
        <w:rPr>
          <w:rStyle w:val="Emphasis"/>
          <w:rFonts w:ascii="Cambria" w:hAnsi="Cambria" w:cs="Segoe UI"/>
          <w:i w:val="0"/>
          <w:iCs w:val="0"/>
          <w:sz w:val="20"/>
          <w:szCs w:val="20"/>
        </w:rPr>
        <w:t xml:space="preserve"> </w:t>
      </w:r>
      <w:r w:rsidRPr="00391AEA">
        <w:rPr>
          <w:rFonts w:ascii="Cambria" w:hAnsi="Cambria"/>
          <w:sz w:val="20"/>
          <w:szCs w:val="20"/>
        </w:rPr>
        <w:t xml:space="preserve">at [paragraph 73]. </w:t>
      </w:r>
    </w:p>
  </w:footnote>
  <w:footnote w:id="14">
    <w:p w14:paraId="2049CC84" w14:textId="73C5B8EB" w:rsidR="00F551A7" w:rsidRPr="00391AEA" w:rsidRDefault="00F551A7">
      <w:pPr>
        <w:pStyle w:val="FootnoteText"/>
        <w:rPr>
          <w:rFonts w:ascii="Cambria" w:hAnsi="Cambria"/>
          <w:sz w:val="20"/>
          <w:szCs w:val="20"/>
        </w:rPr>
      </w:pPr>
      <w:r w:rsidRPr="00391AEA">
        <w:rPr>
          <w:rStyle w:val="FootnoteReference"/>
          <w:rFonts w:ascii="Cambria" w:hAnsi="Cambria"/>
          <w:sz w:val="20"/>
          <w:szCs w:val="20"/>
        </w:rPr>
        <w:footnoteRef/>
      </w:r>
      <w:r w:rsidRPr="00391AEA">
        <w:rPr>
          <w:rFonts w:ascii="Cambria" w:hAnsi="Cambria"/>
          <w:sz w:val="20"/>
          <w:szCs w:val="20"/>
        </w:rPr>
        <w:t xml:space="preserve"> Section 7(a) of the </w:t>
      </w:r>
      <w:r w:rsidRPr="00391AEA">
        <w:rPr>
          <w:rFonts w:ascii="Cambria" w:hAnsi="Cambria"/>
          <w:i/>
          <w:iCs/>
          <w:sz w:val="20"/>
          <w:szCs w:val="20"/>
        </w:rPr>
        <w:t>End-of-Life Choices (Voluntary Assisted Dying) Act 2021</w:t>
      </w:r>
      <w:r w:rsidRPr="00391AEA">
        <w:rPr>
          <w:rFonts w:ascii="Cambria" w:hAnsi="Cambria"/>
          <w:sz w:val="20"/>
          <w:szCs w:val="20"/>
        </w:rPr>
        <w:t xml:space="preserve"> (Tas).  </w:t>
      </w:r>
      <w:r w:rsidRPr="00391AEA">
        <w:rPr>
          <w:rFonts w:ascii="Cambria" w:hAnsi="Cambria"/>
          <w:sz w:val="20"/>
          <w:szCs w:val="20"/>
        </w:rPr>
        <w:t xml:space="preserve"> </w:t>
      </w:r>
    </w:p>
  </w:footnote>
  <w:footnote w:id="15">
    <w:p w14:paraId="52FB8608" w14:textId="3A8AF1C0" w:rsidR="00E14DC3" w:rsidRPr="00391AEA" w:rsidRDefault="00E14DC3" w:rsidP="00E14DC3">
      <w:pPr>
        <w:jc w:val="both"/>
        <w:rPr>
          <w:rFonts w:ascii="Cambria" w:hAnsi="Cambria"/>
          <w:sz w:val="20"/>
          <w:szCs w:val="20"/>
          <w:lang w:val="en-US"/>
        </w:rPr>
      </w:pPr>
      <w:r w:rsidRPr="00391AEA">
        <w:rPr>
          <w:rStyle w:val="FootnoteReference"/>
          <w:rFonts w:ascii="Cambria" w:hAnsi="Cambria"/>
          <w:sz w:val="20"/>
          <w:szCs w:val="20"/>
        </w:rPr>
        <w:footnoteRef/>
      </w:r>
      <w:r w:rsidR="00F551A7" w:rsidRPr="00391AEA">
        <w:rPr>
          <w:rFonts w:ascii="Cambria" w:hAnsi="Cambria"/>
          <w:sz w:val="20"/>
          <w:szCs w:val="20"/>
        </w:rPr>
        <w:t xml:space="preserve"> </w:t>
      </w:r>
      <w:r w:rsidRPr="00391AEA">
        <w:rPr>
          <w:rFonts w:ascii="Cambria" w:hAnsi="Cambria"/>
          <w:sz w:val="20"/>
          <w:szCs w:val="20"/>
        </w:rPr>
        <w:t xml:space="preserve">Louise </w:t>
      </w:r>
      <w:r w:rsidRPr="00391AEA">
        <w:rPr>
          <w:rFonts w:ascii="Cambria" w:hAnsi="Cambria"/>
          <w:sz w:val="20"/>
          <w:szCs w:val="20"/>
          <w:lang w:val="en-US"/>
        </w:rPr>
        <w:t xml:space="preserve">Bazalgette and William Bradley: “The legal and ethical status of assisted dying in our society continues to be an unresolved public policy issue ...”, The Commission on Assisted Dying Briefing Paper: Key Research Themes, (London: Demos, November 2010) at 59. It should also be acknowledged that adoption of the Netherlands model would be consistent with Tasmanian law with patients aged 12-15 requiring the consent of both parents or guardian or a </w:t>
      </w:r>
      <w:r w:rsidRPr="00391AEA">
        <w:rPr>
          <w:rFonts w:ascii="Cambria" w:hAnsi="Cambria"/>
          <w:sz w:val="20"/>
          <w:szCs w:val="20"/>
        </w:rPr>
        <w:t xml:space="preserve">court finding that the decision is in the best interests of the patient </w:t>
      </w:r>
      <w:r w:rsidRPr="00391AEA">
        <w:rPr>
          <w:rFonts w:ascii="Cambria" w:hAnsi="Cambria"/>
          <w:sz w:val="20"/>
          <w:szCs w:val="20"/>
          <w:lang w:val="en-US"/>
        </w:rPr>
        <w:t>and patients aged 16-17 having to consult their parents or guardian but where the decision remains solely with the patient.</w:t>
      </w:r>
    </w:p>
    <w:p w14:paraId="1651D340" w14:textId="77777777" w:rsidR="00E14DC3" w:rsidRPr="00732E34" w:rsidRDefault="00E14DC3" w:rsidP="00E14DC3">
      <w:pPr>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4F"/>
    <w:multiLevelType w:val="multilevel"/>
    <w:tmpl w:val="F88E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A5DD9"/>
    <w:multiLevelType w:val="multilevel"/>
    <w:tmpl w:val="3F34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4968F0"/>
    <w:multiLevelType w:val="hybridMultilevel"/>
    <w:tmpl w:val="1442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D6B33"/>
    <w:multiLevelType w:val="multilevel"/>
    <w:tmpl w:val="96DC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DA04D8"/>
    <w:multiLevelType w:val="multilevel"/>
    <w:tmpl w:val="154C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D679D"/>
    <w:multiLevelType w:val="multilevel"/>
    <w:tmpl w:val="A170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448A6"/>
    <w:multiLevelType w:val="multilevel"/>
    <w:tmpl w:val="9BB0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E6353"/>
    <w:multiLevelType w:val="multilevel"/>
    <w:tmpl w:val="8A16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00F89"/>
    <w:multiLevelType w:val="multilevel"/>
    <w:tmpl w:val="6F6A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21C3D"/>
    <w:multiLevelType w:val="hybridMultilevel"/>
    <w:tmpl w:val="0C6AA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0FC3"/>
    <w:multiLevelType w:val="multilevel"/>
    <w:tmpl w:val="C6D6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341854"/>
    <w:multiLevelType w:val="hybridMultilevel"/>
    <w:tmpl w:val="FD4A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673AF"/>
    <w:multiLevelType w:val="multilevel"/>
    <w:tmpl w:val="9F7AB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C5097C"/>
    <w:multiLevelType w:val="hybridMultilevel"/>
    <w:tmpl w:val="0234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F10EF"/>
    <w:multiLevelType w:val="hybridMultilevel"/>
    <w:tmpl w:val="1840A4F2"/>
    <w:lvl w:ilvl="0" w:tplc="D6B4530A">
      <w:start w:val="37"/>
      <w:numFmt w:val="bullet"/>
      <w:lvlText w:val="-"/>
      <w:lvlJc w:val="left"/>
      <w:pPr>
        <w:ind w:left="720" w:hanging="360"/>
      </w:pPr>
      <w:rPr>
        <w:rFonts w:ascii="Cambria" w:eastAsia="Times New Roman" w:hAnsi="Cambr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C3C88"/>
    <w:multiLevelType w:val="multilevel"/>
    <w:tmpl w:val="CDACE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F7022"/>
    <w:multiLevelType w:val="multilevel"/>
    <w:tmpl w:val="24A889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D1A39"/>
    <w:multiLevelType w:val="hybridMultilevel"/>
    <w:tmpl w:val="4EC6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D3071"/>
    <w:multiLevelType w:val="multilevel"/>
    <w:tmpl w:val="9F7AB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C629A2"/>
    <w:multiLevelType w:val="hybridMultilevel"/>
    <w:tmpl w:val="2924A030"/>
    <w:lvl w:ilvl="0" w:tplc="7280F498">
      <w:start w:val="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6D2FA7"/>
    <w:multiLevelType w:val="multilevel"/>
    <w:tmpl w:val="C6EA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7A1EFD"/>
    <w:multiLevelType w:val="multilevel"/>
    <w:tmpl w:val="016E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2125F7"/>
    <w:multiLevelType w:val="hybridMultilevel"/>
    <w:tmpl w:val="E5662F88"/>
    <w:lvl w:ilvl="0" w:tplc="88687E32">
      <w:start w:val="2019"/>
      <w:numFmt w:val="bullet"/>
      <w:lvlText w:val=""/>
      <w:lvlJc w:val="left"/>
      <w:pPr>
        <w:ind w:left="720" w:hanging="360"/>
      </w:pPr>
      <w:rPr>
        <w:rFonts w:ascii="Symbol" w:eastAsiaTheme="minorHAnsi" w:hAnsi="Symbol" w:cs="Times New Roman (Body C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7551E4"/>
    <w:multiLevelType w:val="multilevel"/>
    <w:tmpl w:val="A91C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40867"/>
    <w:multiLevelType w:val="hybridMultilevel"/>
    <w:tmpl w:val="2840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D4132"/>
    <w:multiLevelType w:val="hybridMultilevel"/>
    <w:tmpl w:val="B586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6F01D3"/>
    <w:multiLevelType w:val="hybridMultilevel"/>
    <w:tmpl w:val="462A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CA6A57"/>
    <w:multiLevelType w:val="hybridMultilevel"/>
    <w:tmpl w:val="25DCD8B2"/>
    <w:lvl w:ilvl="0" w:tplc="67C6901C">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DC6094"/>
    <w:multiLevelType w:val="multilevel"/>
    <w:tmpl w:val="97F2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E5176E"/>
    <w:multiLevelType w:val="multilevel"/>
    <w:tmpl w:val="2FB0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0E4BFF"/>
    <w:multiLevelType w:val="multilevel"/>
    <w:tmpl w:val="650C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443CA9"/>
    <w:multiLevelType w:val="hybridMultilevel"/>
    <w:tmpl w:val="28F22B20"/>
    <w:lvl w:ilvl="0" w:tplc="78BC639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3C2ED6"/>
    <w:multiLevelType w:val="hybridMultilevel"/>
    <w:tmpl w:val="ED36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13481"/>
    <w:multiLevelType w:val="multilevel"/>
    <w:tmpl w:val="0C7C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9632937">
    <w:abstractNumId w:val="31"/>
  </w:num>
  <w:num w:numId="2" w16cid:durableId="75055087">
    <w:abstractNumId w:val="33"/>
  </w:num>
  <w:num w:numId="3" w16cid:durableId="222955587">
    <w:abstractNumId w:val="9"/>
  </w:num>
  <w:num w:numId="4" w16cid:durableId="1860577951">
    <w:abstractNumId w:val="15"/>
  </w:num>
  <w:num w:numId="5" w16cid:durableId="616252856">
    <w:abstractNumId w:val="14"/>
  </w:num>
  <w:num w:numId="6" w16cid:durableId="161505513">
    <w:abstractNumId w:val="12"/>
    <w:lvlOverride w:ilvl="0">
      <w:startOverride w:val="40"/>
    </w:lvlOverride>
  </w:num>
  <w:num w:numId="7" w16cid:durableId="722565140">
    <w:abstractNumId w:val="18"/>
  </w:num>
  <w:num w:numId="8" w16cid:durableId="1656570095">
    <w:abstractNumId w:val="24"/>
  </w:num>
  <w:num w:numId="9" w16cid:durableId="1797870564">
    <w:abstractNumId w:val="29"/>
  </w:num>
  <w:num w:numId="10" w16cid:durableId="399594368">
    <w:abstractNumId w:val="5"/>
  </w:num>
  <w:num w:numId="11" w16cid:durableId="1703440626">
    <w:abstractNumId w:val="3"/>
  </w:num>
  <w:num w:numId="12" w16cid:durableId="301547383">
    <w:abstractNumId w:val="21"/>
  </w:num>
  <w:num w:numId="13" w16cid:durableId="302388876">
    <w:abstractNumId w:val="1"/>
  </w:num>
  <w:num w:numId="14" w16cid:durableId="2051493822">
    <w:abstractNumId w:val="10"/>
  </w:num>
  <w:num w:numId="15" w16cid:durableId="29453809">
    <w:abstractNumId w:val="30"/>
  </w:num>
  <w:num w:numId="16" w16cid:durableId="1266769798">
    <w:abstractNumId w:val="0"/>
  </w:num>
  <w:num w:numId="17" w16cid:durableId="2137868530">
    <w:abstractNumId w:val="19"/>
  </w:num>
  <w:num w:numId="18" w16cid:durableId="1621296721">
    <w:abstractNumId w:val="32"/>
  </w:num>
  <w:num w:numId="19" w16cid:durableId="535117993">
    <w:abstractNumId w:val="17"/>
  </w:num>
  <w:num w:numId="20" w16cid:durableId="343213084">
    <w:abstractNumId w:val="26"/>
  </w:num>
  <w:num w:numId="21" w16cid:durableId="2121105394">
    <w:abstractNumId w:val="7"/>
  </w:num>
  <w:num w:numId="22" w16cid:durableId="504250443">
    <w:abstractNumId w:val="23"/>
  </w:num>
  <w:num w:numId="23" w16cid:durableId="454761186">
    <w:abstractNumId w:val="22"/>
  </w:num>
  <w:num w:numId="24" w16cid:durableId="1356730979">
    <w:abstractNumId w:val="28"/>
  </w:num>
  <w:num w:numId="25" w16cid:durableId="502476674">
    <w:abstractNumId w:val="25"/>
  </w:num>
  <w:num w:numId="26" w16cid:durableId="775443923">
    <w:abstractNumId w:val="6"/>
  </w:num>
  <w:num w:numId="27" w16cid:durableId="2076973711">
    <w:abstractNumId w:val="20"/>
  </w:num>
  <w:num w:numId="28" w16cid:durableId="1466897795">
    <w:abstractNumId w:val="8"/>
  </w:num>
  <w:num w:numId="29" w16cid:durableId="483397145">
    <w:abstractNumId w:val="2"/>
  </w:num>
  <w:num w:numId="30" w16cid:durableId="757823804">
    <w:abstractNumId w:val="13"/>
  </w:num>
  <w:num w:numId="31" w16cid:durableId="2135560320">
    <w:abstractNumId w:val="11"/>
  </w:num>
  <w:num w:numId="32" w16cid:durableId="1709723931">
    <w:abstractNumId w:val="16"/>
  </w:num>
  <w:num w:numId="33" w16cid:durableId="436413207">
    <w:abstractNumId w:val="4"/>
  </w:num>
  <w:num w:numId="34" w16cid:durableId="171219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31"/>
    <w:rsid w:val="00024572"/>
    <w:rsid w:val="00025A9E"/>
    <w:rsid w:val="000277EE"/>
    <w:rsid w:val="00035AFA"/>
    <w:rsid w:val="000829F4"/>
    <w:rsid w:val="00090278"/>
    <w:rsid w:val="000E43AE"/>
    <w:rsid w:val="000E4CF0"/>
    <w:rsid w:val="00127BEC"/>
    <w:rsid w:val="00162ACE"/>
    <w:rsid w:val="001747E5"/>
    <w:rsid w:val="001A44E5"/>
    <w:rsid w:val="001C3929"/>
    <w:rsid w:val="001F1FD0"/>
    <w:rsid w:val="00215FCE"/>
    <w:rsid w:val="002562AB"/>
    <w:rsid w:val="00270773"/>
    <w:rsid w:val="00291766"/>
    <w:rsid w:val="00294850"/>
    <w:rsid w:val="002A1168"/>
    <w:rsid w:val="002E1FBC"/>
    <w:rsid w:val="003000A8"/>
    <w:rsid w:val="0034418C"/>
    <w:rsid w:val="00351EE6"/>
    <w:rsid w:val="003553F4"/>
    <w:rsid w:val="00364DEC"/>
    <w:rsid w:val="00365F4B"/>
    <w:rsid w:val="003900F6"/>
    <w:rsid w:val="00391AEA"/>
    <w:rsid w:val="003A1BF7"/>
    <w:rsid w:val="003B0326"/>
    <w:rsid w:val="003E13EC"/>
    <w:rsid w:val="003E56BC"/>
    <w:rsid w:val="003F7E0F"/>
    <w:rsid w:val="00414389"/>
    <w:rsid w:val="00427384"/>
    <w:rsid w:val="00444603"/>
    <w:rsid w:val="00464276"/>
    <w:rsid w:val="004A3C76"/>
    <w:rsid w:val="004E7234"/>
    <w:rsid w:val="004F5071"/>
    <w:rsid w:val="00511DDF"/>
    <w:rsid w:val="005138D7"/>
    <w:rsid w:val="00534C0E"/>
    <w:rsid w:val="00565680"/>
    <w:rsid w:val="005708EE"/>
    <w:rsid w:val="00571F0E"/>
    <w:rsid w:val="00581514"/>
    <w:rsid w:val="00590C22"/>
    <w:rsid w:val="00593071"/>
    <w:rsid w:val="005A2A0C"/>
    <w:rsid w:val="005B065E"/>
    <w:rsid w:val="005C299E"/>
    <w:rsid w:val="005C5990"/>
    <w:rsid w:val="005C7433"/>
    <w:rsid w:val="005D7D01"/>
    <w:rsid w:val="006727DE"/>
    <w:rsid w:val="00682059"/>
    <w:rsid w:val="0070616C"/>
    <w:rsid w:val="00762FBE"/>
    <w:rsid w:val="0077390C"/>
    <w:rsid w:val="007A7824"/>
    <w:rsid w:val="007D3CBF"/>
    <w:rsid w:val="0081474D"/>
    <w:rsid w:val="008447E8"/>
    <w:rsid w:val="008F250D"/>
    <w:rsid w:val="008F4715"/>
    <w:rsid w:val="0092465C"/>
    <w:rsid w:val="00936A23"/>
    <w:rsid w:val="00945097"/>
    <w:rsid w:val="00947CDD"/>
    <w:rsid w:val="00954F91"/>
    <w:rsid w:val="009C7B13"/>
    <w:rsid w:val="009F31E2"/>
    <w:rsid w:val="009F7490"/>
    <w:rsid w:val="00A155D2"/>
    <w:rsid w:val="00A20194"/>
    <w:rsid w:val="00A33A25"/>
    <w:rsid w:val="00A6355A"/>
    <w:rsid w:val="00A97E50"/>
    <w:rsid w:val="00AA58F1"/>
    <w:rsid w:val="00AB7B3E"/>
    <w:rsid w:val="00B05B0F"/>
    <w:rsid w:val="00B16D5A"/>
    <w:rsid w:val="00B368E6"/>
    <w:rsid w:val="00B7285C"/>
    <w:rsid w:val="00B845FE"/>
    <w:rsid w:val="00BD2D64"/>
    <w:rsid w:val="00BE321E"/>
    <w:rsid w:val="00C00E40"/>
    <w:rsid w:val="00C0329E"/>
    <w:rsid w:val="00C12301"/>
    <w:rsid w:val="00C13DB9"/>
    <w:rsid w:val="00C1674E"/>
    <w:rsid w:val="00C52E31"/>
    <w:rsid w:val="00C54818"/>
    <w:rsid w:val="00C556BF"/>
    <w:rsid w:val="00C83509"/>
    <w:rsid w:val="00CA1E7F"/>
    <w:rsid w:val="00CA71F4"/>
    <w:rsid w:val="00CC58C7"/>
    <w:rsid w:val="00CE7B91"/>
    <w:rsid w:val="00D40150"/>
    <w:rsid w:val="00D4088E"/>
    <w:rsid w:val="00D4271F"/>
    <w:rsid w:val="00DD5BF4"/>
    <w:rsid w:val="00DE1951"/>
    <w:rsid w:val="00DE1CE0"/>
    <w:rsid w:val="00E14DC3"/>
    <w:rsid w:val="00EA2123"/>
    <w:rsid w:val="00F11889"/>
    <w:rsid w:val="00F30F3B"/>
    <w:rsid w:val="00F551A7"/>
    <w:rsid w:val="00F6260F"/>
    <w:rsid w:val="00FA6243"/>
    <w:rsid w:val="00FE17A6"/>
    <w:rsid w:val="00FE401F"/>
    <w:rsid w:val="00FE49FE"/>
    <w:rsid w:val="00FE6A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4F03B7B"/>
  <w15:chartTrackingRefBased/>
  <w15:docId w15:val="{0865D7AE-E0C8-1E46-B3FA-F05DDF1D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E31"/>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52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52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52E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52E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52E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2E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E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E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E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E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52E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52E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52E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C52E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2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E31"/>
    <w:rPr>
      <w:rFonts w:eastAsiaTheme="majorEastAsia" w:cstheme="majorBidi"/>
      <w:color w:val="272727" w:themeColor="text1" w:themeTint="D8"/>
    </w:rPr>
  </w:style>
  <w:style w:type="paragraph" w:styleId="Title">
    <w:name w:val="Title"/>
    <w:basedOn w:val="Normal"/>
    <w:next w:val="Normal"/>
    <w:link w:val="TitleChar"/>
    <w:uiPriority w:val="10"/>
    <w:qFormat/>
    <w:rsid w:val="00C52E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E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E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2E31"/>
    <w:rPr>
      <w:i/>
      <w:iCs/>
      <w:color w:val="404040" w:themeColor="text1" w:themeTint="BF"/>
    </w:rPr>
  </w:style>
  <w:style w:type="paragraph" w:styleId="ListParagraph">
    <w:name w:val="List Paragraph"/>
    <w:basedOn w:val="Normal"/>
    <w:uiPriority w:val="34"/>
    <w:qFormat/>
    <w:rsid w:val="00C52E31"/>
    <w:pPr>
      <w:ind w:left="720"/>
      <w:contextualSpacing/>
    </w:pPr>
  </w:style>
  <w:style w:type="character" w:styleId="IntenseEmphasis">
    <w:name w:val="Intense Emphasis"/>
    <w:basedOn w:val="DefaultParagraphFont"/>
    <w:uiPriority w:val="21"/>
    <w:qFormat/>
    <w:rsid w:val="00C52E31"/>
    <w:rPr>
      <w:i/>
      <w:iCs/>
      <w:color w:val="2F5496" w:themeColor="accent1" w:themeShade="BF"/>
    </w:rPr>
  </w:style>
  <w:style w:type="paragraph" w:styleId="IntenseQuote">
    <w:name w:val="Intense Quote"/>
    <w:basedOn w:val="Normal"/>
    <w:next w:val="Normal"/>
    <w:link w:val="IntenseQuoteChar"/>
    <w:uiPriority w:val="30"/>
    <w:qFormat/>
    <w:rsid w:val="00C52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2E31"/>
    <w:rPr>
      <w:i/>
      <w:iCs/>
      <w:color w:val="2F5496" w:themeColor="accent1" w:themeShade="BF"/>
    </w:rPr>
  </w:style>
  <w:style w:type="character" w:styleId="IntenseReference">
    <w:name w:val="Intense Reference"/>
    <w:basedOn w:val="DefaultParagraphFont"/>
    <w:uiPriority w:val="32"/>
    <w:qFormat/>
    <w:rsid w:val="00C52E31"/>
    <w:rPr>
      <w:b/>
      <w:bCs/>
      <w:smallCaps/>
      <w:color w:val="2F5496" w:themeColor="accent1" w:themeShade="BF"/>
      <w:spacing w:val="5"/>
    </w:rPr>
  </w:style>
  <w:style w:type="character" w:styleId="Hyperlink">
    <w:name w:val="Hyperlink"/>
    <w:basedOn w:val="DefaultParagraphFont"/>
    <w:uiPriority w:val="99"/>
    <w:unhideWhenUsed/>
    <w:rsid w:val="00C52E31"/>
    <w:rPr>
      <w:color w:val="0563C1" w:themeColor="hyperlink"/>
      <w:u w:val="single"/>
    </w:rPr>
  </w:style>
  <w:style w:type="character" w:styleId="UnresolvedMention">
    <w:name w:val="Unresolved Mention"/>
    <w:basedOn w:val="DefaultParagraphFont"/>
    <w:uiPriority w:val="99"/>
    <w:semiHidden/>
    <w:unhideWhenUsed/>
    <w:rsid w:val="00C52E31"/>
    <w:rPr>
      <w:color w:val="605E5C"/>
      <w:shd w:val="clear" w:color="auto" w:fill="E1DFDD"/>
    </w:rPr>
  </w:style>
  <w:style w:type="paragraph" w:styleId="FootnoteText">
    <w:name w:val="footnote text"/>
    <w:aliases w:val="Footnote,Text,Footnote Text Char Char Char Char Char Char Char,Footnote Text Char Char Char Char Char Char,Footnote Text Char Char Char Char Char Char Char Char Char Char Char Char Char Char Char Char Char,single space Char,single space"/>
    <w:basedOn w:val="Normal"/>
    <w:link w:val="FootnoteTextChar"/>
    <w:uiPriority w:val="99"/>
    <w:unhideWhenUsed/>
    <w:rsid w:val="00C52E31"/>
  </w:style>
  <w:style w:type="character" w:customStyle="1" w:styleId="FootnoteTextChar">
    <w:name w:val="Footnote Text Char"/>
    <w:aliases w:val="Footnote Char,Text Char,Footnote Text Char Char Char Char Char Char Char Char,Footnote Text Char Char Char Char Char Char Char1,Footnote Text Char Char Char Char Char Char Char Char Char Char Char Char Char Char Char Char Char Char"/>
    <w:basedOn w:val="DefaultParagraphFont"/>
    <w:link w:val="FootnoteText"/>
    <w:uiPriority w:val="99"/>
    <w:rsid w:val="00C52E31"/>
    <w:rPr>
      <w:rFonts w:ascii="Times New Roman" w:eastAsia="Times New Roman" w:hAnsi="Times New Roman" w:cs="Times New Roman"/>
      <w:kern w:val="0"/>
      <w:lang w:eastAsia="en-GB"/>
      <w14:ligatures w14:val="none"/>
    </w:rPr>
  </w:style>
  <w:style w:type="character" w:styleId="FootnoteReference">
    <w:name w:val="footnote reference"/>
    <w:aliases w:val="Footnotes refss,Ref,de nota al pie"/>
    <w:basedOn w:val="DefaultParagraphFont"/>
    <w:uiPriority w:val="99"/>
    <w:unhideWhenUsed/>
    <w:qFormat/>
    <w:rsid w:val="00C52E31"/>
    <w:rPr>
      <w:vertAlign w:val="superscript"/>
    </w:rPr>
  </w:style>
  <w:style w:type="paragraph" w:styleId="NoSpacing">
    <w:name w:val="No Spacing"/>
    <w:uiPriority w:val="1"/>
    <w:qFormat/>
    <w:rsid w:val="00C52E31"/>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C52E31"/>
    <w:pPr>
      <w:spacing w:before="100" w:beforeAutospacing="1" w:after="100" w:afterAutospacing="1"/>
    </w:pPr>
  </w:style>
  <w:style w:type="character" w:customStyle="1" w:styleId="frag-no">
    <w:name w:val="frag-no"/>
    <w:basedOn w:val="DefaultParagraphFont"/>
    <w:rsid w:val="00C52E31"/>
  </w:style>
  <w:style w:type="character" w:customStyle="1" w:styleId="frag-heading">
    <w:name w:val="frag-heading"/>
    <w:basedOn w:val="DefaultParagraphFont"/>
    <w:rsid w:val="00C52E31"/>
  </w:style>
  <w:style w:type="character" w:customStyle="1" w:styleId="frag-defterm">
    <w:name w:val="frag-defterm"/>
    <w:basedOn w:val="DefaultParagraphFont"/>
    <w:rsid w:val="00C52E31"/>
  </w:style>
  <w:style w:type="character" w:styleId="Emphasis">
    <w:name w:val="Emphasis"/>
    <w:basedOn w:val="DefaultParagraphFont"/>
    <w:uiPriority w:val="20"/>
    <w:qFormat/>
    <w:rsid w:val="00C52E31"/>
    <w:rPr>
      <w:i/>
      <w:iCs/>
    </w:rPr>
  </w:style>
  <w:style w:type="paragraph" w:styleId="Footer">
    <w:name w:val="footer"/>
    <w:basedOn w:val="Normal"/>
    <w:link w:val="FooterChar"/>
    <w:uiPriority w:val="99"/>
    <w:unhideWhenUsed/>
    <w:rsid w:val="00C52E31"/>
    <w:pPr>
      <w:tabs>
        <w:tab w:val="center" w:pos="4513"/>
        <w:tab w:val="right" w:pos="9026"/>
      </w:tabs>
    </w:pPr>
  </w:style>
  <w:style w:type="character" w:customStyle="1" w:styleId="FooterChar">
    <w:name w:val="Footer Char"/>
    <w:basedOn w:val="DefaultParagraphFont"/>
    <w:link w:val="Footer"/>
    <w:uiPriority w:val="99"/>
    <w:rsid w:val="00C52E31"/>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C52E31"/>
  </w:style>
  <w:style w:type="character" w:styleId="FollowedHyperlink">
    <w:name w:val="FollowedHyperlink"/>
    <w:basedOn w:val="DefaultParagraphFont"/>
    <w:uiPriority w:val="99"/>
    <w:semiHidden/>
    <w:unhideWhenUsed/>
    <w:rsid w:val="00C52E31"/>
    <w:rPr>
      <w:color w:val="954F72" w:themeColor="followedHyperlink"/>
      <w:u w:val="single"/>
    </w:rPr>
  </w:style>
  <w:style w:type="character" w:styleId="Strong">
    <w:name w:val="Strong"/>
    <w:basedOn w:val="DefaultParagraphFont"/>
    <w:uiPriority w:val="22"/>
    <w:qFormat/>
    <w:rsid w:val="00C52E31"/>
    <w:rPr>
      <w:b/>
      <w:bCs/>
    </w:rPr>
  </w:style>
  <w:style w:type="character" w:customStyle="1" w:styleId="whitespace-normal">
    <w:name w:val="whitespace-normal"/>
    <w:basedOn w:val="DefaultParagraphFont"/>
    <w:rsid w:val="00C52E31"/>
  </w:style>
  <w:style w:type="character" w:customStyle="1" w:styleId="headingname">
    <w:name w:val="headingname"/>
    <w:basedOn w:val="DefaultParagraphFont"/>
    <w:rsid w:val="00C52E31"/>
  </w:style>
  <w:style w:type="character" w:customStyle="1" w:styleId="listnumber">
    <w:name w:val="listnumber"/>
    <w:basedOn w:val="DefaultParagraphFont"/>
    <w:rsid w:val="00C52E31"/>
  </w:style>
  <w:style w:type="paragraph" w:customStyle="1" w:styleId="ah5sec">
    <w:name w:val="ah5sec"/>
    <w:basedOn w:val="Normal"/>
    <w:rsid w:val="00C52E31"/>
    <w:pPr>
      <w:spacing w:before="100" w:beforeAutospacing="1" w:after="100" w:afterAutospacing="1"/>
    </w:pPr>
  </w:style>
  <w:style w:type="character" w:customStyle="1" w:styleId="charsectno">
    <w:name w:val="charsectno"/>
    <w:basedOn w:val="DefaultParagraphFont"/>
    <w:rsid w:val="00C52E31"/>
  </w:style>
  <w:style w:type="character" w:customStyle="1" w:styleId="charitals">
    <w:name w:val="charitals"/>
    <w:basedOn w:val="DefaultParagraphFont"/>
    <w:rsid w:val="00C52E31"/>
  </w:style>
  <w:style w:type="paragraph" w:customStyle="1" w:styleId="amain">
    <w:name w:val="amain"/>
    <w:basedOn w:val="Normal"/>
    <w:rsid w:val="00C52E31"/>
    <w:pPr>
      <w:spacing w:before="100" w:beforeAutospacing="1" w:after="100" w:afterAutospacing="1"/>
    </w:pPr>
  </w:style>
  <w:style w:type="paragraph" w:customStyle="1" w:styleId="adef">
    <w:name w:val="adef"/>
    <w:basedOn w:val="Normal"/>
    <w:rsid w:val="00C52E31"/>
    <w:pPr>
      <w:spacing w:before="100" w:beforeAutospacing="1" w:after="100" w:afterAutospacing="1"/>
    </w:pPr>
  </w:style>
  <w:style w:type="character" w:customStyle="1" w:styleId="charbolditals">
    <w:name w:val="charbolditals"/>
    <w:basedOn w:val="DefaultParagraphFont"/>
    <w:rsid w:val="00C52E31"/>
  </w:style>
  <w:style w:type="paragraph" w:customStyle="1" w:styleId="apara">
    <w:name w:val="apara"/>
    <w:basedOn w:val="Normal"/>
    <w:rsid w:val="00C52E31"/>
    <w:pPr>
      <w:spacing w:before="100" w:beforeAutospacing="1" w:after="100" w:afterAutospacing="1"/>
    </w:pPr>
  </w:style>
  <w:style w:type="paragraph" w:customStyle="1" w:styleId="asubpara">
    <w:name w:val="asubpara"/>
    <w:basedOn w:val="Normal"/>
    <w:rsid w:val="00C52E31"/>
    <w:pPr>
      <w:spacing w:before="100" w:beforeAutospacing="1" w:after="100" w:afterAutospacing="1"/>
    </w:pPr>
  </w:style>
  <w:style w:type="paragraph" w:customStyle="1" w:styleId="asubsubpara">
    <w:name w:val="asubsubpara"/>
    <w:basedOn w:val="Normal"/>
    <w:rsid w:val="00C52E31"/>
    <w:pPr>
      <w:spacing w:before="100" w:beforeAutospacing="1" w:after="100" w:afterAutospacing="1"/>
    </w:pPr>
  </w:style>
  <w:style w:type="paragraph" w:customStyle="1" w:styleId="aexamhdgpar">
    <w:name w:val="aexamhdgpar"/>
    <w:basedOn w:val="Normal"/>
    <w:rsid w:val="00C52E31"/>
    <w:pPr>
      <w:spacing w:before="100" w:beforeAutospacing="1" w:after="100" w:afterAutospacing="1"/>
    </w:pPr>
  </w:style>
  <w:style w:type="paragraph" w:customStyle="1" w:styleId="aexaminumpar">
    <w:name w:val="aexaminumpar"/>
    <w:basedOn w:val="Normal"/>
    <w:rsid w:val="00C52E31"/>
    <w:pPr>
      <w:spacing w:before="100" w:beforeAutospacing="1" w:after="100" w:afterAutospacing="1"/>
    </w:pPr>
  </w:style>
  <w:style w:type="paragraph" w:customStyle="1" w:styleId="aexamhdgss">
    <w:name w:val="aexamhdgss"/>
    <w:basedOn w:val="Normal"/>
    <w:rsid w:val="00C52E31"/>
    <w:pPr>
      <w:spacing w:before="100" w:beforeAutospacing="1" w:after="100" w:afterAutospacing="1"/>
    </w:pPr>
  </w:style>
  <w:style w:type="paragraph" w:customStyle="1" w:styleId="aexaminumss">
    <w:name w:val="aexaminumss"/>
    <w:basedOn w:val="Normal"/>
    <w:rsid w:val="00C52E31"/>
    <w:pPr>
      <w:spacing w:before="100" w:beforeAutospacing="1" w:after="100" w:afterAutospacing="1"/>
    </w:pPr>
  </w:style>
  <w:style w:type="paragraph" w:customStyle="1" w:styleId="recommendationlisttext">
    <w:name w:val="recommendationlisttext"/>
    <w:basedOn w:val="Normal"/>
    <w:rsid w:val="00C52E31"/>
    <w:pPr>
      <w:spacing w:before="100" w:beforeAutospacing="1" w:after="100" w:afterAutospacing="1"/>
    </w:pPr>
  </w:style>
  <w:style w:type="paragraph" w:customStyle="1" w:styleId="recommendationlistbullet1">
    <w:name w:val="recommendationlistbullet1"/>
    <w:basedOn w:val="Normal"/>
    <w:rsid w:val="00C52E31"/>
    <w:pPr>
      <w:spacing w:before="100" w:beforeAutospacing="1" w:after="100" w:afterAutospacing="1"/>
    </w:pPr>
  </w:style>
  <w:style w:type="paragraph" w:customStyle="1" w:styleId="recommendationlistbullet2">
    <w:name w:val="recommendationlistbullet2"/>
    <w:basedOn w:val="Normal"/>
    <w:rsid w:val="00C52E31"/>
    <w:pPr>
      <w:spacing w:before="100" w:beforeAutospacing="1" w:after="100" w:afterAutospacing="1"/>
    </w:pPr>
  </w:style>
  <w:style w:type="table" w:styleId="TableGrid">
    <w:name w:val="Table Grid"/>
    <w:basedOn w:val="TableNormal"/>
    <w:uiPriority w:val="39"/>
    <w:rsid w:val="00C5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52E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te">
    <w:name w:val="note"/>
    <w:basedOn w:val="Normal"/>
    <w:rsid w:val="00C52E31"/>
    <w:pPr>
      <w:spacing w:before="100" w:beforeAutospacing="1" w:after="100" w:afterAutospacing="1"/>
    </w:pPr>
  </w:style>
  <w:style w:type="paragraph" w:customStyle="1" w:styleId="headingparagraph">
    <w:name w:val="headingparagraph"/>
    <w:basedOn w:val="Normal"/>
    <w:rsid w:val="00C52E31"/>
    <w:pPr>
      <w:spacing w:before="100" w:beforeAutospacing="1" w:after="100" w:afterAutospacing="1"/>
    </w:pPr>
  </w:style>
  <w:style w:type="character" w:customStyle="1" w:styleId="noteheadingname">
    <w:name w:val="noteheadingname"/>
    <w:basedOn w:val="DefaultParagraphFont"/>
    <w:rsid w:val="00C52E31"/>
  </w:style>
  <w:style w:type="paragraph" w:customStyle="1" w:styleId="xmsonormal">
    <w:name w:val="x_msonormal"/>
    <w:basedOn w:val="Normal"/>
    <w:rsid w:val="00C52E31"/>
    <w:pPr>
      <w:spacing w:before="100" w:beforeAutospacing="1" w:after="100" w:afterAutospacing="1"/>
    </w:pPr>
  </w:style>
  <w:style w:type="paragraph" w:customStyle="1" w:styleId="adefpara">
    <w:name w:val="adefpara"/>
    <w:basedOn w:val="Normal"/>
    <w:rsid w:val="00C52E31"/>
    <w:pPr>
      <w:spacing w:before="100" w:beforeAutospacing="1" w:after="100" w:afterAutospacing="1"/>
    </w:pPr>
  </w:style>
  <w:style w:type="paragraph" w:customStyle="1" w:styleId="clause">
    <w:name w:val="clause"/>
    <w:basedOn w:val="Normal"/>
    <w:rsid w:val="00C52E31"/>
    <w:pPr>
      <w:spacing w:before="100" w:beforeAutospacing="1" w:after="100" w:afterAutospacing="1"/>
    </w:pPr>
  </w:style>
  <w:style w:type="paragraph" w:customStyle="1" w:styleId="DraftHeading3">
    <w:name w:val="Draft Heading 3"/>
    <w:basedOn w:val="Normal"/>
    <w:next w:val="Normal"/>
    <w:rsid w:val="002A1168"/>
    <w:pPr>
      <w:overflowPunct w:val="0"/>
      <w:autoSpaceDE w:val="0"/>
      <w:autoSpaceDN w:val="0"/>
      <w:adjustRightInd w:val="0"/>
      <w:spacing w:before="120"/>
      <w:textAlignment w:val="baseline"/>
    </w:pPr>
    <w:rPr>
      <w:szCs w:val="20"/>
      <w:lang w:eastAsia="en-US"/>
    </w:rPr>
  </w:style>
  <w:style w:type="paragraph" w:customStyle="1" w:styleId="DraftHeading4">
    <w:name w:val="Draft Heading 4"/>
    <w:basedOn w:val="Normal"/>
    <w:next w:val="Normal"/>
    <w:rsid w:val="002A1168"/>
    <w:pPr>
      <w:overflowPunct w:val="0"/>
      <w:autoSpaceDE w:val="0"/>
      <w:autoSpaceDN w:val="0"/>
      <w:adjustRightInd w:val="0"/>
      <w:spacing w:before="120"/>
      <w:textAlignment w:val="baseline"/>
    </w:pPr>
    <w:rPr>
      <w:szCs w:val="20"/>
      <w:lang w:eastAsia="en-US"/>
    </w:rPr>
  </w:style>
  <w:style w:type="paragraph" w:customStyle="1" w:styleId="DraftHeading2">
    <w:name w:val="Draft Heading 2"/>
    <w:basedOn w:val="Normal"/>
    <w:next w:val="Normal"/>
    <w:rsid w:val="002A1168"/>
    <w:pPr>
      <w:overflowPunct w:val="0"/>
      <w:autoSpaceDE w:val="0"/>
      <w:autoSpaceDN w:val="0"/>
      <w:adjustRightInd w:val="0"/>
      <w:spacing w:before="120"/>
      <w:textAlignment w:val="baseline"/>
    </w:pPr>
    <w:rPr>
      <w:szCs w:val="20"/>
      <w:lang w:eastAsia="en-US"/>
    </w:rPr>
  </w:style>
  <w:style w:type="character" w:customStyle="1" w:styleId="hpsnormal">
    <w:name w:val="hpsnormal"/>
    <w:basedOn w:val="DefaultParagraphFont"/>
    <w:rsid w:val="00C12301"/>
  </w:style>
  <w:style w:type="paragraph" w:customStyle="1" w:styleId="z1qcye">
    <w:name w:val="z1qcye"/>
    <w:basedOn w:val="Normal"/>
    <w:rsid w:val="00A155D2"/>
    <w:pPr>
      <w:spacing w:before="100" w:beforeAutospacing="1" w:after="100" w:afterAutospacing="1"/>
    </w:pPr>
  </w:style>
  <w:style w:type="character" w:customStyle="1" w:styleId="t286pc">
    <w:name w:val="t286pc"/>
    <w:basedOn w:val="DefaultParagraphFont"/>
    <w:rsid w:val="00A155D2"/>
  </w:style>
  <w:style w:type="paragraph" w:customStyle="1" w:styleId="subsection">
    <w:name w:val="subsection"/>
    <w:basedOn w:val="Normal"/>
    <w:rsid w:val="00DE1951"/>
    <w:pPr>
      <w:spacing w:before="100" w:beforeAutospacing="1" w:after="100" w:afterAutospacing="1"/>
    </w:pPr>
  </w:style>
  <w:style w:type="paragraph" w:customStyle="1" w:styleId="paragraph">
    <w:name w:val="paragraph"/>
    <w:basedOn w:val="Normal"/>
    <w:rsid w:val="00DE1951"/>
    <w:pPr>
      <w:spacing w:before="100" w:beforeAutospacing="1" w:after="100" w:afterAutospacing="1"/>
    </w:pPr>
  </w:style>
  <w:style w:type="paragraph" w:customStyle="1" w:styleId="paragraphsub">
    <w:name w:val="paragraphsub"/>
    <w:basedOn w:val="Normal"/>
    <w:rsid w:val="00DE19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Review@health.tas.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people/population/regional-population/latest-release" TargetMode="External"/><Relationship Id="rId2" Type="http://schemas.openxmlformats.org/officeDocument/2006/relationships/hyperlink" Target="https://www.health.vic.gov.au/legislation/voluntary-assisted-dying-act" TargetMode="External"/><Relationship Id="rId1" Type="http://schemas.openxmlformats.org/officeDocument/2006/relationships/hyperlink" Target="https://content.health.vic.gov.au/sites/default/files/2025-10/voluntary-assisted-dying-review-board-annual-report-2024-25.pdf" TargetMode="External"/><Relationship Id="rId5" Type="http://schemas.openxmlformats.org/officeDocument/2006/relationships/hyperlink" Target="https://www.abs.gov.au/statistics/health/health-services/patient-experiences/latest-release" TargetMode="External"/><Relationship Id="rId4" Type="http://schemas.openxmlformats.org/officeDocument/2006/relationships/hyperlink" Target="https://www.abs.gov.au/census/find-census-data/quickstats/2021/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n-GB" b="1"/>
              <a:t>VAD Substance Authorisations</a:t>
            </a:r>
            <a:r>
              <a:rPr lang="en-GB" b="1" baseline="0"/>
              <a:t> + Deaths by Administration </a:t>
            </a:r>
            <a:endParaRPr lang="en-GB" b="1"/>
          </a:p>
        </c:rich>
      </c:tx>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GB"/>
        </a:p>
      </c:txPr>
    </c:title>
    <c:autoTitleDeleted val="0"/>
    <c:plotArea>
      <c:layout/>
      <c:lineChart>
        <c:grouping val="standard"/>
        <c:varyColors val="0"/>
        <c:ser>
          <c:idx val="0"/>
          <c:order val="0"/>
          <c:tx>
            <c:strRef>
              <c:f>'[Chart in Microsoft Word]Sheet1'!$B$6</c:f>
              <c:strCache>
                <c:ptCount val="1"/>
                <c:pt idx="0">
                  <c:v>No. of VAD Substance Authorisations</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'[Chart in Microsoft Word]Sheet1'!$A$7:$A$9</c:f>
              <c:strCache>
                <c:ptCount val="3"/>
                <c:pt idx="0">
                  <c:v>2022/23</c:v>
                </c:pt>
                <c:pt idx="1">
                  <c:v>2023/24</c:v>
                </c:pt>
                <c:pt idx="2">
                  <c:v>2024/25</c:v>
                </c:pt>
              </c:strCache>
            </c:strRef>
          </c:cat>
          <c:val>
            <c:numRef>
              <c:f>'[Chart in Microsoft Word]Sheet1'!$B$7:$B$9</c:f>
              <c:numCache>
                <c:formatCode>General</c:formatCode>
                <c:ptCount val="3"/>
                <c:pt idx="0">
                  <c:v>39</c:v>
                </c:pt>
                <c:pt idx="1">
                  <c:v>105</c:v>
                </c:pt>
                <c:pt idx="2">
                  <c:v>159</c:v>
                </c:pt>
              </c:numCache>
            </c:numRef>
          </c:val>
          <c:smooth val="0"/>
          <c:extLst>
            <c:ext xmlns:c16="http://schemas.microsoft.com/office/drawing/2014/chart" uri="{C3380CC4-5D6E-409C-BE32-E72D297353CC}">
              <c16:uniqueId val="{00000000-5F4F-154D-A452-AEF47EB8439A}"/>
            </c:ext>
          </c:extLst>
        </c:ser>
        <c:ser>
          <c:idx val="1"/>
          <c:order val="1"/>
          <c:tx>
            <c:strRef>
              <c:f>'[Chart in Microsoft Word]Sheet1'!$C$6</c:f>
              <c:strCache>
                <c:ptCount val="1"/>
                <c:pt idx="0">
                  <c:v>Deaths by administration of VAD substance</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'[Chart in Microsoft Word]Sheet1'!$A$7:$A$9</c:f>
              <c:strCache>
                <c:ptCount val="3"/>
                <c:pt idx="0">
                  <c:v>2022/23</c:v>
                </c:pt>
                <c:pt idx="1">
                  <c:v>2023/24</c:v>
                </c:pt>
                <c:pt idx="2">
                  <c:v>2024/25</c:v>
                </c:pt>
              </c:strCache>
            </c:strRef>
          </c:cat>
          <c:val>
            <c:numRef>
              <c:f>'[Chart in Microsoft Word]Sheet1'!$C$7:$C$9</c:f>
              <c:numCache>
                <c:formatCode>General</c:formatCode>
                <c:ptCount val="3"/>
                <c:pt idx="0">
                  <c:v>25</c:v>
                </c:pt>
                <c:pt idx="1">
                  <c:v>60</c:v>
                </c:pt>
                <c:pt idx="2">
                  <c:v>109</c:v>
                </c:pt>
              </c:numCache>
            </c:numRef>
          </c:val>
          <c:smooth val="0"/>
          <c:extLst>
            <c:ext xmlns:c16="http://schemas.microsoft.com/office/drawing/2014/chart" uri="{C3380CC4-5D6E-409C-BE32-E72D297353CC}">
              <c16:uniqueId val="{00000001-5F4F-154D-A452-AEF47EB8439A}"/>
            </c:ext>
          </c:extLst>
        </c:ser>
        <c:dLbls>
          <c:dLblPos val="ctr"/>
          <c:showLegendKey val="0"/>
          <c:showVal val="1"/>
          <c:showCatName val="0"/>
          <c:showSerName val="0"/>
          <c:showPercent val="0"/>
          <c:showBubbleSize val="0"/>
        </c:dLbls>
        <c:marker val="1"/>
        <c:smooth val="0"/>
        <c:axId val="671917696"/>
        <c:axId val="1278459776"/>
      </c:lineChart>
      <c:catAx>
        <c:axId val="67191769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1278459776"/>
        <c:crosses val="autoZero"/>
        <c:auto val="1"/>
        <c:lblAlgn val="ctr"/>
        <c:lblOffset val="100"/>
        <c:noMultiLvlLbl val="0"/>
      </c:catAx>
      <c:valAx>
        <c:axId val="1278459776"/>
        <c:scaling>
          <c:orientation val="minMax"/>
        </c:scaling>
        <c:delete val="1"/>
        <c:axPos val="l"/>
        <c:numFmt formatCode="General" sourceLinked="1"/>
        <c:majorTickMark val="none"/>
        <c:minorTickMark val="none"/>
        <c:tickLblPos val="nextTo"/>
        <c:crossAx val="671917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n-US" b="1"/>
              <a:t>No of eligible particpants who died before being issued VAD Substance authorisation  </a:t>
            </a:r>
          </a:p>
        </c:rich>
      </c:tx>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Sheet1!$A$2:$A$4</c:f>
              <c:strCache>
                <c:ptCount val="3"/>
                <c:pt idx="0">
                  <c:v>2022/23</c:v>
                </c:pt>
                <c:pt idx="1">
                  <c:v>2023/24</c:v>
                </c:pt>
                <c:pt idx="2">
                  <c:v>2024/25</c:v>
                </c:pt>
              </c:strCache>
            </c:strRef>
          </c:cat>
          <c:val>
            <c:numRef>
              <c:f>Sheet1!$B$2:$B$4</c:f>
              <c:numCache>
                <c:formatCode>General</c:formatCode>
                <c:ptCount val="3"/>
                <c:pt idx="0">
                  <c:v>7</c:v>
                </c:pt>
                <c:pt idx="1">
                  <c:v>14</c:v>
                </c:pt>
                <c:pt idx="2">
                  <c:v>28</c:v>
                </c:pt>
              </c:numCache>
            </c:numRef>
          </c:val>
          <c:smooth val="0"/>
          <c:extLst>
            <c:ext xmlns:c16="http://schemas.microsoft.com/office/drawing/2014/chart" uri="{C3380CC4-5D6E-409C-BE32-E72D297353CC}">
              <c16:uniqueId val="{00000000-95F6-F344-ADED-2AB0E4BF3067}"/>
            </c:ext>
          </c:extLst>
        </c:ser>
        <c:dLbls>
          <c:dLblPos val="ctr"/>
          <c:showLegendKey val="0"/>
          <c:showVal val="1"/>
          <c:showCatName val="0"/>
          <c:showSerName val="0"/>
          <c:showPercent val="0"/>
          <c:showBubbleSize val="0"/>
        </c:dLbls>
        <c:marker val="1"/>
        <c:smooth val="0"/>
        <c:axId val="1207274432"/>
        <c:axId val="102586783"/>
      </c:lineChart>
      <c:catAx>
        <c:axId val="120727443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102586783"/>
        <c:crosses val="autoZero"/>
        <c:auto val="1"/>
        <c:lblAlgn val="ctr"/>
        <c:lblOffset val="100"/>
        <c:noMultiLvlLbl val="0"/>
      </c:catAx>
      <c:valAx>
        <c:axId val="102586783"/>
        <c:scaling>
          <c:orientation val="minMax"/>
        </c:scaling>
        <c:delete val="1"/>
        <c:axPos val="l"/>
        <c:numFmt formatCode="General" sourceLinked="1"/>
        <c:majorTickMark val="none"/>
        <c:minorTickMark val="none"/>
        <c:tickLblPos val="nextTo"/>
        <c:crossAx val="120727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TotalTime>
  <Pages>7</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Bartl</dc:creator>
  <cp:keywords/>
  <dc:description/>
  <cp:lastModifiedBy>Benedict Bartl</cp:lastModifiedBy>
  <cp:revision>36</cp:revision>
  <dcterms:created xsi:type="dcterms:W3CDTF">2026-05-27T08:29:00Z</dcterms:created>
  <dcterms:modified xsi:type="dcterms:W3CDTF">2026-06-24T14:35:00Z</dcterms:modified>
</cp:coreProperties>
</file>