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9C7F0D" w14:textId="77777777" w:rsidR="003D3A55" w:rsidRDefault="003D3A55" w:rsidP="003D3A55">
      <w:pPr>
        <w:ind w:right="-205"/>
        <w:rPr>
          <w:rFonts w:ascii="Cambria" w:hAnsi="Cambria"/>
          <w:color w:val="000000" w:themeColor="text1"/>
          <w:sz w:val="23"/>
          <w:szCs w:val="23"/>
        </w:rPr>
      </w:pPr>
      <w:r w:rsidRPr="00BC0D6B">
        <w:rPr>
          <w:noProof/>
          <w:sz w:val="20"/>
          <w:szCs w:val="20"/>
          <w:lang w:val="en-US"/>
        </w:rPr>
        <w:drawing>
          <wp:anchor distT="0" distB="0" distL="114300" distR="114300" simplePos="0" relativeHeight="251659264" behindDoc="0" locked="0" layoutInCell="1" allowOverlap="1" wp14:anchorId="67B8D6E9" wp14:editId="39199CB6">
            <wp:simplePos x="0" y="0"/>
            <wp:positionH relativeFrom="margin">
              <wp:posOffset>969356</wp:posOffset>
            </wp:positionH>
            <wp:positionV relativeFrom="margin">
              <wp:posOffset>55418</wp:posOffset>
            </wp:positionV>
            <wp:extent cx="3426460" cy="1163955"/>
            <wp:effectExtent l="0" t="0" r="2540" b="4445"/>
            <wp:wrapSquare wrapText="bothSides"/>
            <wp:docPr id="1049957477" name="Picture 1" descr="Shared Docs:Public:Sister Organisations:CLC Tas:CLCLogos:CLCTas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ared Docs:Public:Sister Organisations:CLC Tas:CLCLogos:CLCTascolour.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26460" cy="11639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C2D650" w14:textId="77777777" w:rsidR="003D3A55" w:rsidRDefault="003D3A55" w:rsidP="003D3A55">
      <w:pPr>
        <w:ind w:right="-205"/>
        <w:jc w:val="center"/>
        <w:rPr>
          <w:rFonts w:ascii="Cambria" w:hAnsi="Cambria"/>
          <w:color w:val="000000" w:themeColor="text1"/>
          <w:sz w:val="23"/>
          <w:szCs w:val="23"/>
        </w:rPr>
      </w:pPr>
    </w:p>
    <w:p w14:paraId="6EA48491" w14:textId="77777777" w:rsidR="003D3A55" w:rsidRDefault="003D3A55" w:rsidP="003D3A55">
      <w:pPr>
        <w:ind w:right="-205"/>
        <w:rPr>
          <w:rFonts w:ascii="Cambria" w:hAnsi="Cambria"/>
          <w:color w:val="000000" w:themeColor="text1"/>
          <w:sz w:val="23"/>
          <w:szCs w:val="23"/>
        </w:rPr>
      </w:pPr>
    </w:p>
    <w:p w14:paraId="387E8FC9" w14:textId="77777777" w:rsidR="003D3A55" w:rsidRPr="00F00C5A" w:rsidRDefault="003D3A55" w:rsidP="003D3A55">
      <w:pPr>
        <w:ind w:right="-205"/>
        <w:rPr>
          <w:rFonts w:ascii="Cambria" w:hAnsi="Cambria"/>
          <w:color w:val="000000" w:themeColor="text1"/>
          <w:sz w:val="23"/>
          <w:szCs w:val="23"/>
        </w:rPr>
      </w:pPr>
      <w:r>
        <w:rPr>
          <w:rFonts w:ascii="Cambria" w:hAnsi="Cambria"/>
          <w:color w:val="000000" w:themeColor="text1"/>
          <w:sz w:val="23"/>
          <w:szCs w:val="23"/>
        </w:rPr>
        <w:tab/>
      </w:r>
      <w:r>
        <w:rPr>
          <w:rFonts w:ascii="Cambria" w:hAnsi="Cambria"/>
          <w:color w:val="000000" w:themeColor="text1"/>
          <w:sz w:val="23"/>
          <w:szCs w:val="23"/>
        </w:rPr>
        <w:tab/>
      </w:r>
      <w:r>
        <w:rPr>
          <w:rFonts w:ascii="Cambria" w:hAnsi="Cambria"/>
          <w:color w:val="000000" w:themeColor="text1"/>
          <w:sz w:val="23"/>
          <w:szCs w:val="23"/>
        </w:rPr>
        <w:tab/>
      </w:r>
      <w:r>
        <w:rPr>
          <w:rFonts w:ascii="Cambria" w:hAnsi="Cambria"/>
          <w:color w:val="000000" w:themeColor="text1"/>
          <w:sz w:val="23"/>
          <w:szCs w:val="23"/>
        </w:rPr>
        <w:tab/>
      </w:r>
    </w:p>
    <w:p w14:paraId="6A5ED514" w14:textId="77777777" w:rsidR="003D3A55" w:rsidRDefault="003D3A55" w:rsidP="003D3A55">
      <w:pPr>
        <w:ind w:right="-205"/>
        <w:jc w:val="both"/>
        <w:rPr>
          <w:rFonts w:ascii="Cambria" w:hAnsi="Cambria"/>
          <w:color w:val="000000" w:themeColor="text1"/>
          <w:sz w:val="23"/>
          <w:szCs w:val="23"/>
        </w:rPr>
      </w:pPr>
    </w:p>
    <w:p w14:paraId="53214FE8" w14:textId="77777777" w:rsidR="003D3A55" w:rsidRDefault="003D3A55" w:rsidP="003D3A55">
      <w:pPr>
        <w:ind w:right="-205"/>
        <w:jc w:val="both"/>
        <w:rPr>
          <w:rFonts w:ascii="Cambria" w:hAnsi="Cambria"/>
          <w:color w:val="000000" w:themeColor="text1"/>
          <w:sz w:val="23"/>
          <w:szCs w:val="23"/>
        </w:rPr>
      </w:pPr>
    </w:p>
    <w:p w14:paraId="400369D9" w14:textId="77777777" w:rsidR="003D3A55" w:rsidRDefault="003D3A55" w:rsidP="003D3A55">
      <w:pPr>
        <w:ind w:right="-205"/>
        <w:jc w:val="both"/>
        <w:rPr>
          <w:rFonts w:ascii="Cambria" w:hAnsi="Cambria"/>
          <w:color w:val="000000" w:themeColor="text1"/>
          <w:sz w:val="23"/>
          <w:szCs w:val="23"/>
        </w:rPr>
      </w:pPr>
    </w:p>
    <w:p w14:paraId="5E007941" w14:textId="77777777" w:rsidR="003D3A55" w:rsidRPr="004D3BF4" w:rsidRDefault="003D3A55" w:rsidP="003D3A55">
      <w:pPr>
        <w:ind w:right="-205"/>
        <w:jc w:val="both"/>
        <w:rPr>
          <w:rFonts w:ascii="Cambria" w:hAnsi="Cambria"/>
          <w:color w:val="000000" w:themeColor="text1"/>
          <w:sz w:val="23"/>
          <w:szCs w:val="23"/>
        </w:rPr>
      </w:pPr>
    </w:p>
    <w:p w14:paraId="5338A122" w14:textId="77777777" w:rsidR="003D3A55" w:rsidRPr="004D3BF4" w:rsidRDefault="003D3A55" w:rsidP="003D3A55">
      <w:pPr>
        <w:ind w:right="-205"/>
        <w:jc w:val="both"/>
        <w:rPr>
          <w:rFonts w:ascii="Cambria" w:hAnsi="Cambria"/>
          <w:color w:val="EE0000"/>
          <w:sz w:val="23"/>
          <w:szCs w:val="23"/>
        </w:rPr>
      </w:pPr>
    </w:p>
    <w:p w14:paraId="3E8A6C1E" w14:textId="49E6D4B5" w:rsidR="003D3A55" w:rsidRPr="004D3BF4" w:rsidRDefault="003D3A55" w:rsidP="003D3A55">
      <w:pPr>
        <w:ind w:right="-205"/>
        <w:jc w:val="both"/>
        <w:rPr>
          <w:rFonts w:ascii="Cambria" w:hAnsi="Cambria"/>
          <w:color w:val="000000" w:themeColor="text1"/>
          <w:sz w:val="23"/>
          <w:szCs w:val="23"/>
        </w:rPr>
      </w:pPr>
      <w:r w:rsidRPr="004D3BF4">
        <w:rPr>
          <w:rFonts w:ascii="Cambria" w:hAnsi="Cambria"/>
          <w:color w:val="000000" w:themeColor="text1"/>
          <w:sz w:val="23"/>
          <w:szCs w:val="23"/>
        </w:rPr>
        <w:t>1</w:t>
      </w:r>
      <w:r w:rsidR="00FA6E50" w:rsidRPr="004D3BF4">
        <w:rPr>
          <w:rFonts w:ascii="Cambria" w:hAnsi="Cambria"/>
          <w:color w:val="000000" w:themeColor="text1"/>
          <w:sz w:val="23"/>
          <w:szCs w:val="23"/>
        </w:rPr>
        <w:t>7</w:t>
      </w:r>
      <w:r w:rsidRPr="004D3BF4">
        <w:rPr>
          <w:rFonts w:ascii="Cambria" w:hAnsi="Cambria"/>
          <w:color w:val="000000" w:themeColor="text1"/>
          <w:sz w:val="23"/>
          <w:szCs w:val="23"/>
        </w:rPr>
        <w:t xml:space="preserve"> July 2026</w:t>
      </w:r>
    </w:p>
    <w:p w14:paraId="5F62A1C6" w14:textId="77777777" w:rsidR="003D3A55" w:rsidRPr="004D3BF4" w:rsidRDefault="003D3A55" w:rsidP="003D3A55">
      <w:pPr>
        <w:ind w:right="-347"/>
        <w:rPr>
          <w:rFonts w:ascii="Cambria" w:hAnsi="Cambria"/>
          <w:color w:val="000000" w:themeColor="text1"/>
          <w:sz w:val="23"/>
          <w:szCs w:val="23"/>
        </w:rPr>
      </w:pPr>
    </w:p>
    <w:p w14:paraId="377AF580" w14:textId="77777777" w:rsidR="00FA6E50" w:rsidRPr="004D3BF4" w:rsidRDefault="00FA6E50" w:rsidP="00FA6E50">
      <w:pPr>
        <w:ind w:right="-347"/>
        <w:rPr>
          <w:rFonts w:ascii="Cambria" w:hAnsi="Cambria"/>
          <w:color w:val="000000" w:themeColor="text1"/>
          <w:sz w:val="23"/>
          <w:szCs w:val="23"/>
        </w:rPr>
      </w:pPr>
      <w:r w:rsidRPr="004D3BF4">
        <w:rPr>
          <w:rFonts w:ascii="Cambria" w:hAnsi="Cambria"/>
          <w:color w:val="000000" w:themeColor="text1"/>
          <w:sz w:val="23"/>
          <w:szCs w:val="23"/>
        </w:rPr>
        <w:t>Tasmania Law Reform Institute</w:t>
      </w:r>
    </w:p>
    <w:p w14:paraId="03290FDD" w14:textId="77777777" w:rsidR="00FA6E50" w:rsidRPr="004D3BF4" w:rsidRDefault="00FA6E50" w:rsidP="00FA6E50">
      <w:pPr>
        <w:ind w:right="-347"/>
        <w:rPr>
          <w:rFonts w:ascii="Cambria" w:hAnsi="Cambria"/>
          <w:color w:val="000000" w:themeColor="text1"/>
          <w:sz w:val="23"/>
          <w:szCs w:val="23"/>
        </w:rPr>
      </w:pPr>
      <w:r w:rsidRPr="004D3BF4">
        <w:rPr>
          <w:rFonts w:ascii="Cambria" w:hAnsi="Cambria"/>
          <w:color w:val="000000" w:themeColor="text1"/>
          <w:sz w:val="23"/>
          <w:szCs w:val="23"/>
        </w:rPr>
        <w:t>Private Bag 89</w:t>
      </w:r>
    </w:p>
    <w:p w14:paraId="41C919AC" w14:textId="2223A57A" w:rsidR="00FA6E50" w:rsidRPr="004D3BF4" w:rsidRDefault="00FA6E50" w:rsidP="00FA6E50">
      <w:pPr>
        <w:ind w:right="-347"/>
        <w:rPr>
          <w:rFonts w:ascii="Cambria" w:hAnsi="Cambria"/>
          <w:color w:val="000000" w:themeColor="text1"/>
          <w:sz w:val="23"/>
          <w:szCs w:val="23"/>
        </w:rPr>
      </w:pPr>
      <w:r w:rsidRPr="004D3BF4">
        <w:rPr>
          <w:rFonts w:ascii="Cambria" w:hAnsi="Cambria"/>
          <w:color w:val="000000" w:themeColor="text1"/>
          <w:sz w:val="23"/>
          <w:szCs w:val="23"/>
        </w:rPr>
        <w:t>HOBART TAS 7001</w:t>
      </w:r>
      <w:r w:rsidRPr="004D3BF4">
        <w:rPr>
          <w:rFonts w:ascii="Cambria" w:hAnsi="Cambria"/>
          <w:color w:val="000000" w:themeColor="text1"/>
          <w:sz w:val="23"/>
          <w:szCs w:val="23"/>
        </w:rPr>
        <w:tab/>
      </w:r>
      <w:r w:rsidRPr="004D3BF4">
        <w:rPr>
          <w:rFonts w:ascii="Cambria" w:hAnsi="Cambria"/>
          <w:color w:val="000000" w:themeColor="text1"/>
          <w:sz w:val="23"/>
          <w:szCs w:val="23"/>
        </w:rPr>
        <w:tab/>
      </w:r>
      <w:r w:rsidRPr="004D3BF4">
        <w:rPr>
          <w:rFonts w:ascii="Cambria" w:hAnsi="Cambria"/>
          <w:color w:val="000000" w:themeColor="text1"/>
          <w:sz w:val="23"/>
          <w:szCs w:val="23"/>
        </w:rPr>
        <w:tab/>
      </w:r>
    </w:p>
    <w:p w14:paraId="5AEABAF1" w14:textId="77777777" w:rsidR="00FA6E50" w:rsidRPr="004D3BF4" w:rsidRDefault="00FA6E50" w:rsidP="00FA6E50">
      <w:pPr>
        <w:ind w:left="1440" w:right="-347" w:firstLine="720"/>
        <w:rPr>
          <w:rFonts w:ascii="Cambria" w:hAnsi="Cambria"/>
          <w:i/>
          <w:iCs/>
          <w:color w:val="000000" w:themeColor="text1"/>
          <w:sz w:val="23"/>
          <w:szCs w:val="23"/>
        </w:rPr>
      </w:pPr>
    </w:p>
    <w:p w14:paraId="7A12991F" w14:textId="77777777" w:rsidR="00FA6E50" w:rsidRPr="004D3BF4" w:rsidRDefault="00FA6E50" w:rsidP="00FA6E50">
      <w:pPr>
        <w:ind w:left="3600" w:right="-347" w:firstLine="720"/>
        <w:rPr>
          <w:rFonts w:ascii="Cambria" w:hAnsi="Cambria"/>
          <w:color w:val="000000" w:themeColor="text1"/>
          <w:sz w:val="23"/>
          <w:szCs w:val="23"/>
        </w:rPr>
      </w:pPr>
      <w:r w:rsidRPr="004D3BF4">
        <w:rPr>
          <w:rFonts w:ascii="Cambria" w:hAnsi="Cambria"/>
          <w:i/>
          <w:iCs/>
          <w:color w:val="000000" w:themeColor="text1"/>
          <w:sz w:val="23"/>
          <w:szCs w:val="23"/>
        </w:rPr>
        <w:t xml:space="preserve">via email: </w:t>
      </w:r>
      <w:hyperlink r:id="rId9" w:history="1">
        <w:r w:rsidRPr="004D3BF4">
          <w:rPr>
            <w:rStyle w:val="Hyperlink"/>
            <w:rFonts w:ascii="Cambria" w:eastAsiaTheme="majorEastAsia" w:hAnsi="Cambria"/>
            <w:i/>
            <w:iCs/>
            <w:sz w:val="23"/>
            <w:szCs w:val="23"/>
          </w:rPr>
          <w:t>law.reform@utas.edu.au</w:t>
        </w:r>
      </w:hyperlink>
      <w:r w:rsidRPr="004D3BF4">
        <w:rPr>
          <w:rFonts w:ascii="Cambria" w:hAnsi="Cambria"/>
          <w:i/>
          <w:iCs/>
          <w:color w:val="000000" w:themeColor="text1"/>
          <w:sz w:val="23"/>
          <w:szCs w:val="23"/>
        </w:rPr>
        <w:t xml:space="preserve">  </w:t>
      </w:r>
    </w:p>
    <w:p w14:paraId="41143C88" w14:textId="77777777" w:rsidR="003D3A55" w:rsidRPr="004D3BF4" w:rsidRDefault="003D3A55" w:rsidP="003D3A55">
      <w:pPr>
        <w:ind w:right="-347"/>
        <w:rPr>
          <w:rFonts w:ascii="Cambria" w:hAnsi="Cambria"/>
          <w:color w:val="000000" w:themeColor="text1"/>
          <w:sz w:val="23"/>
          <w:szCs w:val="23"/>
        </w:rPr>
      </w:pPr>
    </w:p>
    <w:p w14:paraId="4062F81C" w14:textId="27AF1963" w:rsidR="003D3A55" w:rsidRPr="004D3BF4" w:rsidRDefault="003D3A55" w:rsidP="003D3A55">
      <w:pPr>
        <w:ind w:right="-347"/>
        <w:rPr>
          <w:rFonts w:ascii="Cambria" w:hAnsi="Cambria"/>
          <w:color w:val="000000" w:themeColor="text1"/>
          <w:sz w:val="23"/>
          <w:szCs w:val="23"/>
        </w:rPr>
      </w:pPr>
      <w:r w:rsidRPr="004D3BF4">
        <w:rPr>
          <w:rFonts w:ascii="Cambria" w:hAnsi="Cambria"/>
          <w:color w:val="000000" w:themeColor="text1"/>
          <w:sz w:val="23"/>
          <w:szCs w:val="23"/>
        </w:rPr>
        <w:t xml:space="preserve">To the </w:t>
      </w:r>
      <w:r w:rsidR="00FA6E50" w:rsidRPr="004D3BF4">
        <w:rPr>
          <w:rFonts w:ascii="Cambria" w:hAnsi="Cambria"/>
          <w:color w:val="000000" w:themeColor="text1"/>
          <w:sz w:val="23"/>
          <w:szCs w:val="23"/>
        </w:rPr>
        <w:t>Tasmania Law Reform Institute</w:t>
      </w:r>
      <w:r w:rsidRPr="004D3BF4">
        <w:rPr>
          <w:rFonts w:ascii="Cambria" w:hAnsi="Cambria"/>
          <w:color w:val="000000" w:themeColor="text1"/>
          <w:sz w:val="23"/>
          <w:szCs w:val="23"/>
        </w:rPr>
        <w:t>,  </w:t>
      </w:r>
    </w:p>
    <w:p w14:paraId="2FD527AF" w14:textId="0F83610F" w:rsidR="003D3A55" w:rsidRPr="004D3BF4" w:rsidRDefault="003D3A55" w:rsidP="003D3A55">
      <w:pPr>
        <w:pBdr>
          <w:bottom w:val="single" w:sz="6" w:space="1" w:color="auto"/>
        </w:pBdr>
        <w:ind w:right="-347"/>
        <w:rPr>
          <w:rFonts w:ascii="Cambria" w:hAnsi="Cambria"/>
          <w:b/>
          <w:color w:val="000000" w:themeColor="text1"/>
          <w:sz w:val="23"/>
          <w:szCs w:val="23"/>
        </w:rPr>
      </w:pPr>
      <w:r w:rsidRPr="004D3BF4">
        <w:rPr>
          <w:rFonts w:ascii="Cambria" w:hAnsi="Cambria"/>
          <w:b/>
          <w:color w:val="000000" w:themeColor="text1"/>
          <w:sz w:val="23"/>
          <w:szCs w:val="23"/>
        </w:rPr>
        <w:t xml:space="preserve">Re: </w:t>
      </w:r>
      <w:r w:rsidRPr="004D3BF4">
        <w:rPr>
          <w:rFonts w:ascii="Cambria" w:hAnsi="Cambria"/>
          <w:b/>
          <w:i/>
          <w:iCs/>
          <w:color w:val="000000" w:themeColor="text1"/>
          <w:sz w:val="23"/>
          <w:szCs w:val="23"/>
        </w:rPr>
        <w:t>Review</w:t>
      </w:r>
      <w:r w:rsidRPr="004D3BF4">
        <w:rPr>
          <w:rFonts w:ascii="Cambria" w:hAnsi="Cambria"/>
          <w:b/>
          <w:i/>
          <w:iCs/>
          <w:color w:val="000000" w:themeColor="text1"/>
          <w:sz w:val="23"/>
          <w:szCs w:val="23"/>
        </w:rPr>
        <w:t xml:space="preserve"> of the Coroners Act 1995 (Tas)</w:t>
      </w:r>
    </w:p>
    <w:p w14:paraId="1F60326D" w14:textId="77777777" w:rsidR="003D3A55" w:rsidRPr="004D3BF4" w:rsidRDefault="003D3A55" w:rsidP="003D3A55">
      <w:pPr>
        <w:ind w:right="-347"/>
        <w:rPr>
          <w:rFonts w:ascii="Cambria" w:hAnsi="Cambria"/>
          <w:color w:val="000000" w:themeColor="text1"/>
          <w:sz w:val="23"/>
          <w:szCs w:val="23"/>
        </w:rPr>
      </w:pPr>
    </w:p>
    <w:p w14:paraId="487B4EDF" w14:textId="1FA92190" w:rsidR="003D3A55" w:rsidRPr="004D3BF4" w:rsidRDefault="003D3A55" w:rsidP="003D3A55">
      <w:pPr>
        <w:pStyle w:val="NoSpacing"/>
        <w:jc w:val="both"/>
        <w:rPr>
          <w:rFonts w:ascii="Cambria" w:hAnsi="Cambria"/>
          <w:color w:val="EE0000"/>
          <w:sz w:val="23"/>
          <w:szCs w:val="23"/>
        </w:rPr>
      </w:pPr>
      <w:r w:rsidRPr="004D3BF4">
        <w:rPr>
          <w:rFonts w:ascii="Cambria" w:hAnsi="Cambria" w:cs="Calibri"/>
          <w:color w:val="000000" w:themeColor="text1"/>
          <w:sz w:val="23"/>
          <w:szCs w:val="23"/>
        </w:rPr>
        <w:t>Community Legal Centres Tasmania (CLC Tas)</w:t>
      </w:r>
      <w:r w:rsidRPr="004D3BF4">
        <w:rPr>
          <w:rFonts w:ascii="Cambria" w:hAnsi="Cambria"/>
          <w:color w:val="000000" w:themeColor="text1"/>
          <w:sz w:val="23"/>
          <w:szCs w:val="23"/>
        </w:rPr>
        <w:t xml:space="preserve"> welcomes the opportunity to provide comment on the</w:t>
      </w:r>
      <w:r w:rsidRPr="004D3BF4">
        <w:rPr>
          <w:rFonts w:ascii="Cambria" w:hAnsi="Cambria"/>
          <w:i/>
          <w:iCs/>
          <w:color w:val="000000" w:themeColor="text1"/>
          <w:sz w:val="23"/>
          <w:szCs w:val="23"/>
        </w:rPr>
        <w:t xml:space="preserve"> </w:t>
      </w:r>
      <w:r w:rsidR="001B3B41" w:rsidRPr="004D3BF4">
        <w:rPr>
          <w:rFonts w:ascii="Cambria" w:hAnsi="Cambria"/>
          <w:bCs/>
          <w:i/>
          <w:iCs/>
          <w:color w:val="000000" w:themeColor="text1"/>
          <w:sz w:val="23"/>
          <w:szCs w:val="23"/>
        </w:rPr>
        <w:t>Review of the Coroners Act 1995 (Tas)</w:t>
      </w:r>
      <w:r w:rsidRPr="004D3BF4">
        <w:rPr>
          <w:rFonts w:ascii="Cambria" w:hAnsi="Cambria"/>
          <w:bCs/>
          <w:i/>
          <w:iCs/>
          <w:color w:val="000000" w:themeColor="text1"/>
          <w:sz w:val="23"/>
          <w:szCs w:val="23"/>
        </w:rPr>
        <w:t xml:space="preserve"> </w:t>
      </w:r>
      <w:r w:rsidRPr="004D3BF4">
        <w:rPr>
          <w:rFonts w:ascii="Cambria" w:hAnsi="Cambria"/>
          <w:iCs/>
          <w:color w:val="000000" w:themeColor="text1"/>
          <w:sz w:val="23"/>
          <w:szCs w:val="23"/>
        </w:rPr>
        <w:t>(‘the Review).</w:t>
      </w:r>
      <w:r w:rsidRPr="004D3BF4">
        <w:rPr>
          <w:rStyle w:val="FootnoteReference"/>
          <w:rFonts w:ascii="Cambria" w:eastAsiaTheme="majorEastAsia" w:hAnsi="Cambria"/>
          <w:iCs/>
          <w:color w:val="000000" w:themeColor="text1"/>
          <w:sz w:val="23"/>
          <w:szCs w:val="23"/>
        </w:rPr>
        <w:footnoteReference w:id="1"/>
      </w:r>
      <w:r w:rsidRPr="004D3BF4">
        <w:rPr>
          <w:rFonts w:ascii="Cambria" w:hAnsi="Cambria"/>
          <w:iCs/>
          <w:color w:val="000000" w:themeColor="text1"/>
          <w:sz w:val="23"/>
          <w:szCs w:val="23"/>
        </w:rPr>
        <w:t xml:space="preserve"> </w:t>
      </w:r>
      <w:r w:rsidR="00CE11A7" w:rsidRPr="004D3BF4">
        <w:rPr>
          <w:rFonts w:ascii="Cambria" w:hAnsi="Cambria"/>
          <w:iCs/>
          <w:color w:val="000000" w:themeColor="text1"/>
          <w:sz w:val="23"/>
          <w:szCs w:val="23"/>
        </w:rPr>
        <w:t>Our submission is limited to addressing t</w:t>
      </w:r>
      <w:r w:rsidR="00DD38AA" w:rsidRPr="004D3BF4">
        <w:rPr>
          <w:rFonts w:ascii="Cambria" w:hAnsi="Cambria"/>
          <w:iCs/>
          <w:color w:val="000000" w:themeColor="text1"/>
          <w:sz w:val="23"/>
          <w:szCs w:val="23"/>
        </w:rPr>
        <w:t>hree</w:t>
      </w:r>
      <w:r w:rsidR="00CE11A7" w:rsidRPr="004D3BF4">
        <w:rPr>
          <w:rFonts w:ascii="Cambria" w:hAnsi="Cambria"/>
          <w:iCs/>
          <w:color w:val="000000" w:themeColor="text1"/>
          <w:sz w:val="23"/>
          <w:szCs w:val="23"/>
        </w:rPr>
        <w:t xml:space="preserve"> issues</w:t>
      </w:r>
      <w:r w:rsidR="00DD38AA" w:rsidRPr="004D3BF4">
        <w:rPr>
          <w:rFonts w:ascii="Cambria" w:hAnsi="Cambria"/>
          <w:iCs/>
          <w:color w:val="000000" w:themeColor="text1"/>
          <w:sz w:val="23"/>
          <w:szCs w:val="23"/>
        </w:rPr>
        <w:t>:</w:t>
      </w:r>
      <w:r w:rsidR="00CE11A7" w:rsidRPr="004D3BF4">
        <w:rPr>
          <w:rFonts w:ascii="Cambria" w:hAnsi="Cambria"/>
          <w:iCs/>
          <w:color w:val="000000" w:themeColor="text1"/>
          <w:sz w:val="23"/>
          <w:szCs w:val="23"/>
        </w:rPr>
        <w:t xml:space="preserve"> better recognition of cultural and religious practices</w:t>
      </w:r>
      <w:r w:rsidR="00DD38AA" w:rsidRPr="004D3BF4">
        <w:rPr>
          <w:rFonts w:ascii="Cambria" w:hAnsi="Cambria"/>
          <w:iCs/>
          <w:color w:val="000000" w:themeColor="text1"/>
          <w:sz w:val="23"/>
          <w:szCs w:val="23"/>
        </w:rPr>
        <w:t xml:space="preserve">, </w:t>
      </w:r>
      <w:r w:rsidR="00CE11A7" w:rsidRPr="004D3BF4">
        <w:rPr>
          <w:rFonts w:ascii="Cambria" w:hAnsi="Cambria"/>
          <w:iCs/>
          <w:color w:val="000000" w:themeColor="text1"/>
          <w:sz w:val="23"/>
          <w:szCs w:val="23"/>
        </w:rPr>
        <w:t>senior next of kin</w:t>
      </w:r>
      <w:r w:rsidR="00DD38AA" w:rsidRPr="004D3BF4">
        <w:rPr>
          <w:rFonts w:ascii="Cambria" w:hAnsi="Cambria"/>
          <w:iCs/>
          <w:color w:val="000000" w:themeColor="text1"/>
          <w:sz w:val="23"/>
          <w:szCs w:val="23"/>
        </w:rPr>
        <w:t xml:space="preserve"> and coronial recommendations. </w:t>
      </w:r>
      <w:r w:rsidR="00CE11A7" w:rsidRPr="004D3BF4">
        <w:rPr>
          <w:rFonts w:ascii="Cambria" w:hAnsi="Cambria"/>
          <w:iCs/>
          <w:color w:val="000000" w:themeColor="text1"/>
          <w:sz w:val="23"/>
          <w:szCs w:val="23"/>
        </w:rPr>
        <w:t xml:space="preserve"> </w:t>
      </w:r>
    </w:p>
    <w:p w14:paraId="3D8DA198" w14:textId="77777777" w:rsidR="003D3A55" w:rsidRPr="004D3BF4" w:rsidRDefault="003D3A55" w:rsidP="003D3A55">
      <w:pPr>
        <w:pStyle w:val="NoSpacing"/>
        <w:jc w:val="both"/>
        <w:rPr>
          <w:rFonts w:ascii="Cambria" w:hAnsi="Cambria"/>
          <w:iCs/>
          <w:color w:val="000000" w:themeColor="text1"/>
          <w:sz w:val="23"/>
          <w:szCs w:val="23"/>
        </w:rPr>
      </w:pPr>
    </w:p>
    <w:p w14:paraId="7D7D2339" w14:textId="77777777" w:rsidR="003D3A55" w:rsidRPr="004D3BF4" w:rsidRDefault="003D3A55" w:rsidP="003D3A55">
      <w:pPr>
        <w:pStyle w:val="NoSpacing"/>
        <w:jc w:val="both"/>
        <w:rPr>
          <w:rFonts w:ascii="Cambria" w:hAnsi="Cambria" w:cs="Arial"/>
          <w:color w:val="000000" w:themeColor="text1"/>
          <w:sz w:val="23"/>
          <w:szCs w:val="23"/>
        </w:rPr>
      </w:pPr>
      <w:r w:rsidRPr="004D3BF4">
        <w:rPr>
          <w:rFonts w:ascii="Cambria" w:hAnsi="Cambria" w:cs="Arial"/>
          <w:color w:val="000000" w:themeColor="text1"/>
          <w:sz w:val="23"/>
          <w:szCs w:val="23"/>
        </w:rPr>
        <w:t xml:space="preserve">CLC Tas is the peak body representing the interests of nine community legal centres (CLCs) located throughout Tasmania. We are a member-based, independent, not-for-profit and incorporated organisation that advocates for law reform on a range of public interest matters aimed at improving access to justice, reducing discrimination and protecting and promoting human rights. </w:t>
      </w:r>
    </w:p>
    <w:p w14:paraId="0F154F18" w14:textId="77777777" w:rsidR="00A359EC" w:rsidRPr="004D3BF4" w:rsidRDefault="00A359EC" w:rsidP="003D3A55">
      <w:pPr>
        <w:pStyle w:val="NoSpacing"/>
        <w:jc w:val="both"/>
        <w:rPr>
          <w:rFonts w:ascii="Cambria" w:hAnsi="Cambria" w:cs="Arial"/>
          <w:color w:val="000000" w:themeColor="text1"/>
          <w:sz w:val="23"/>
          <w:szCs w:val="23"/>
        </w:rPr>
      </w:pPr>
    </w:p>
    <w:p w14:paraId="15368AB1" w14:textId="09030C32" w:rsidR="00A359EC" w:rsidRPr="004D3BF4" w:rsidRDefault="00DD38AA" w:rsidP="00A359EC">
      <w:pPr>
        <w:jc w:val="both"/>
        <w:rPr>
          <w:rFonts w:ascii="Cambria" w:hAnsi="Cambria"/>
          <w:b/>
          <w:bCs/>
          <w:color w:val="000000" w:themeColor="text1"/>
          <w:sz w:val="23"/>
          <w:szCs w:val="23"/>
        </w:rPr>
      </w:pPr>
      <w:r w:rsidRPr="004D3BF4">
        <w:rPr>
          <w:rFonts w:ascii="Cambria" w:hAnsi="Cambria"/>
          <w:b/>
          <w:bCs/>
          <w:color w:val="000000" w:themeColor="text1"/>
          <w:sz w:val="23"/>
          <w:szCs w:val="23"/>
        </w:rPr>
        <w:t>Better</w:t>
      </w:r>
      <w:r w:rsidR="00A359EC" w:rsidRPr="004D3BF4">
        <w:rPr>
          <w:rFonts w:ascii="Cambria" w:hAnsi="Cambria"/>
          <w:b/>
          <w:bCs/>
          <w:color w:val="000000" w:themeColor="text1"/>
          <w:sz w:val="23"/>
          <w:szCs w:val="23"/>
        </w:rPr>
        <w:t xml:space="preserve"> recognition of cultural or religious practices</w:t>
      </w:r>
    </w:p>
    <w:p w14:paraId="7D43AABB" w14:textId="53229AE1" w:rsidR="004351C4" w:rsidRPr="004D3BF4" w:rsidRDefault="00A359EC" w:rsidP="00F91A1B">
      <w:pPr>
        <w:jc w:val="both"/>
        <w:rPr>
          <w:rFonts w:ascii="Cambria" w:hAnsi="Cambria"/>
          <w:color w:val="000000" w:themeColor="text1"/>
          <w:sz w:val="23"/>
          <w:szCs w:val="23"/>
        </w:rPr>
      </w:pPr>
      <w:r w:rsidRPr="004D3BF4">
        <w:rPr>
          <w:rFonts w:ascii="Cambria" w:hAnsi="Cambria"/>
          <w:color w:val="000000" w:themeColor="text1"/>
          <w:sz w:val="23"/>
          <w:szCs w:val="23"/>
        </w:rPr>
        <w:t>Tasmania’s religious affiliation is changing</w:t>
      </w:r>
      <w:r w:rsidR="004351C4" w:rsidRPr="004D3BF4">
        <w:rPr>
          <w:rFonts w:ascii="Cambria" w:hAnsi="Cambria"/>
          <w:color w:val="000000" w:themeColor="text1"/>
          <w:sz w:val="23"/>
          <w:szCs w:val="23"/>
        </w:rPr>
        <w:t xml:space="preserve">. Although Christianity remains the religion most Tasmanians affiliate with, the recent Census found that </w:t>
      </w:r>
      <w:r w:rsidR="005C66ED" w:rsidRPr="004D3BF4">
        <w:rPr>
          <w:rFonts w:ascii="Cambria" w:hAnsi="Cambria"/>
          <w:color w:val="000000" w:themeColor="text1"/>
          <w:sz w:val="23"/>
          <w:szCs w:val="23"/>
        </w:rPr>
        <w:t>Christian affiliation</w:t>
      </w:r>
      <w:r w:rsidR="004351C4" w:rsidRPr="004D3BF4">
        <w:rPr>
          <w:rFonts w:ascii="Cambria" w:hAnsi="Cambria"/>
          <w:color w:val="000000" w:themeColor="text1"/>
          <w:sz w:val="23"/>
          <w:szCs w:val="23"/>
        </w:rPr>
        <w:t xml:space="preserve"> has dropped by 16 per cent, from 253,000</w:t>
      </w:r>
      <w:r w:rsidR="005C66ED" w:rsidRPr="004D3BF4">
        <w:rPr>
          <w:rFonts w:ascii="Cambria" w:hAnsi="Cambria"/>
          <w:color w:val="000000" w:themeColor="text1"/>
          <w:sz w:val="23"/>
          <w:szCs w:val="23"/>
        </w:rPr>
        <w:t xml:space="preserve"> persons </w:t>
      </w:r>
      <w:r w:rsidR="004351C4" w:rsidRPr="004D3BF4">
        <w:rPr>
          <w:rFonts w:ascii="Cambria" w:hAnsi="Cambria"/>
          <w:color w:val="000000" w:themeColor="text1"/>
          <w:sz w:val="23"/>
          <w:szCs w:val="23"/>
        </w:rPr>
        <w:t xml:space="preserve">in 2016 to 214,000 in 2021. The Census also found that </w:t>
      </w:r>
      <w:r w:rsidRPr="004D3BF4">
        <w:rPr>
          <w:rFonts w:ascii="Cambria" w:hAnsi="Cambria"/>
          <w:color w:val="000000" w:themeColor="text1"/>
          <w:sz w:val="23"/>
          <w:szCs w:val="23"/>
        </w:rPr>
        <w:t>between 2016-2021, Tasmania had the highest growth rate in Islam and Hinduism of any State or Territory in Australia.</w:t>
      </w:r>
      <w:r w:rsidRPr="004D3BF4">
        <w:rPr>
          <w:rStyle w:val="FootnoteReference"/>
          <w:rFonts w:ascii="Cambria" w:hAnsi="Cambria"/>
          <w:color w:val="000000" w:themeColor="text1"/>
          <w:sz w:val="23"/>
          <w:szCs w:val="23"/>
        </w:rPr>
        <w:footnoteReference w:id="2"/>
      </w:r>
      <w:r w:rsidRPr="004D3BF4">
        <w:rPr>
          <w:rFonts w:ascii="Cambria" w:hAnsi="Cambria"/>
          <w:color w:val="000000" w:themeColor="text1"/>
          <w:sz w:val="23"/>
          <w:szCs w:val="23"/>
        </w:rPr>
        <w:t xml:space="preserve"> In 2016, there were </w:t>
      </w:r>
      <w:r w:rsidR="004351C4" w:rsidRPr="004D3BF4">
        <w:rPr>
          <w:rFonts w:ascii="Cambria" w:hAnsi="Cambria"/>
          <w:color w:val="000000" w:themeColor="text1"/>
          <w:sz w:val="23"/>
          <w:szCs w:val="23"/>
        </w:rPr>
        <w:t xml:space="preserve">around </w:t>
      </w:r>
      <w:r w:rsidRPr="004D3BF4">
        <w:rPr>
          <w:rFonts w:ascii="Cambria" w:hAnsi="Cambria"/>
          <w:color w:val="000000" w:themeColor="text1"/>
          <w:sz w:val="23"/>
          <w:szCs w:val="23"/>
        </w:rPr>
        <w:t>2</w:t>
      </w:r>
      <w:r w:rsidR="004351C4" w:rsidRPr="004D3BF4">
        <w:rPr>
          <w:rFonts w:ascii="Cambria" w:hAnsi="Cambria"/>
          <w:color w:val="000000" w:themeColor="text1"/>
          <w:sz w:val="23"/>
          <w:szCs w:val="23"/>
        </w:rPr>
        <w:t>550</w:t>
      </w:r>
      <w:r w:rsidRPr="004D3BF4">
        <w:rPr>
          <w:rFonts w:ascii="Cambria" w:hAnsi="Cambria"/>
          <w:color w:val="000000" w:themeColor="text1"/>
          <w:sz w:val="23"/>
          <w:szCs w:val="23"/>
        </w:rPr>
        <w:t xml:space="preserve"> people living in Tasmania who </w:t>
      </w:r>
      <w:r w:rsidR="004351C4" w:rsidRPr="004D3BF4">
        <w:rPr>
          <w:rFonts w:ascii="Cambria" w:hAnsi="Cambria"/>
          <w:color w:val="000000" w:themeColor="text1"/>
          <w:sz w:val="23"/>
          <w:szCs w:val="23"/>
        </w:rPr>
        <w:t xml:space="preserve">practiced Hinduism but by 2021 </w:t>
      </w:r>
      <w:r w:rsidRPr="004D3BF4">
        <w:rPr>
          <w:rFonts w:ascii="Cambria" w:hAnsi="Cambria"/>
          <w:color w:val="000000" w:themeColor="text1"/>
          <w:sz w:val="23"/>
          <w:szCs w:val="23"/>
        </w:rPr>
        <w:t xml:space="preserve">this had increased to </w:t>
      </w:r>
      <w:r w:rsidR="004351C4" w:rsidRPr="004D3BF4">
        <w:rPr>
          <w:rFonts w:ascii="Cambria" w:hAnsi="Cambria"/>
          <w:color w:val="000000" w:themeColor="text1"/>
          <w:sz w:val="23"/>
          <w:szCs w:val="23"/>
        </w:rPr>
        <w:t xml:space="preserve">around </w:t>
      </w:r>
      <w:r w:rsidRPr="004D3BF4">
        <w:rPr>
          <w:rFonts w:ascii="Cambria" w:hAnsi="Cambria"/>
          <w:color w:val="000000" w:themeColor="text1"/>
          <w:sz w:val="23"/>
          <w:szCs w:val="23"/>
        </w:rPr>
        <w:t>97</w:t>
      </w:r>
      <w:r w:rsidR="004351C4" w:rsidRPr="004D3BF4">
        <w:rPr>
          <w:rFonts w:ascii="Cambria" w:hAnsi="Cambria"/>
          <w:color w:val="000000" w:themeColor="text1"/>
          <w:sz w:val="23"/>
          <w:szCs w:val="23"/>
        </w:rPr>
        <w:t>00</w:t>
      </w:r>
      <w:r w:rsidRPr="004D3BF4">
        <w:rPr>
          <w:rFonts w:ascii="Cambria" w:hAnsi="Cambria"/>
          <w:color w:val="000000" w:themeColor="text1"/>
          <w:sz w:val="23"/>
          <w:szCs w:val="23"/>
        </w:rPr>
        <w:t xml:space="preserve"> </w:t>
      </w:r>
      <w:r w:rsidR="00D70FF6" w:rsidRPr="004D3BF4">
        <w:rPr>
          <w:rFonts w:ascii="Cambria" w:hAnsi="Cambria"/>
          <w:color w:val="000000" w:themeColor="text1"/>
          <w:sz w:val="23"/>
          <w:szCs w:val="23"/>
        </w:rPr>
        <w:t>people</w:t>
      </w:r>
      <w:r w:rsidRPr="004D3BF4">
        <w:rPr>
          <w:rFonts w:ascii="Cambria" w:hAnsi="Cambria"/>
          <w:color w:val="000000" w:themeColor="text1"/>
          <w:sz w:val="23"/>
          <w:szCs w:val="23"/>
        </w:rPr>
        <w:t xml:space="preserve">, a 280 per cent increase. Likewise, in 2016 there were </w:t>
      </w:r>
      <w:r w:rsidR="004351C4" w:rsidRPr="004D3BF4">
        <w:rPr>
          <w:rFonts w:ascii="Cambria" w:hAnsi="Cambria"/>
          <w:color w:val="000000" w:themeColor="text1"/>
          <w:sz w:val="23"/>
          <w:szCs w:val="23"/>
        </w:rPr>
        <w:t>around 2500</w:t>
      </w:r>
      <w:r w:rsidRPr="004D3BF4">
        <w:rPr>
          <w:rFonts w:ascii="Cambria" w:hAnsi="Cambria"/>
          <w:color w:val="000000" w:themeColor="text1"/>
          <w:sz w:val="23"/>
          <w:szCs w:val="23"/>
        </w:rPr>
        <w:t xml:space="preserve"> people living in Tasmania who practiced Islam </w:t>
      </w:r>
      <w:r w:rsidR="004351C4" w:rsidRPr="004D3BF4">
        <w:rPr>
          <w:rFonts w:ascii="Cambria" w:hAnsi="Cambria"/>
          <w:color w:val="000000" w:themeColor="text1"/>
          <w:sz w:val="23"/>
          <w:szCs w:val="23"/>
        </w:rPr>
        <w:t>but by</w:t>
      </w:r>
      <w:r w:rsidRPr="004D3BF4">
        <w:rPr>
          <w:rFonts w:ascii="Cambria" w:hAnsi="Cambria"/>
          <w:color w:val="000000" w:themeColor="text1"/>
          <w:sz w:val="23"/>
          <w:szCs w:val="23"/>
        </w:rPr>
        <w:t xml:space="preserve"> 2021 this had increased to</w:t>
      </w:r>
      <w:r w:rsidR="004351C4" w:rsidRPr="004D3BF4">
        <w:rPr>
          <w:rFonts w:ascii="Cambria" w:hAnsi="Cambria"/>
          <w:color w:val="000000" w:themeColor="text1"/>
          <w:sz w:val="23"/>
          <w:szCs w:val="23"/>
        </w:rPr>
        <w:t xml:space="preserve"> 4900</w:t>
      </w:r>
      <w:r w:rsidRPr="004D3BF4">
        <w:rPr>
          <w:rFonts w:ascii="Cambria" w:hAnsi="Cambria"/>
          <w:color w:val="000000" w:themeColor="text1"/>
          <w:sz w:val="23"/>
          <w:szCs w:val="23"/>
        </w:rPr>
        <w:t xml:space="preserve">, a 98 per cent increase. Other growing religious affiliations include Buddhism, with an increase from </w:t>
      </w:r>
      <w:r w:rsidR="004351C4" w:rsidRPr="004D3BF4">
        <w:rPr>
          <w:rFonts w:ascii="Cambria" w:hAnsi="Cambria"/>
          <w:color w:val="000000" w:themeColor="text1"/>
          <w:sz w:val="23"/>
          <w:szCs w:val="23"/>
        </w:rPr>
        <w:t xml:space="preserve">around </w:t>
      </w:r>
      <w:r w:rsidRPr="004D3BF4">
        <w:rPr>
          <w:rFonts w:ascii="Cambria" w:hAnsi="Cambria"/>
          <w:color w:val="000000" w:themeColor="text1"/>
          <w:sz w:val="23"/>
          <w:szCs w:val="23"/>
        </w:rPr>
        <w:t>40</w:t>
      </w:r>
      <w:r w:rsidR="004351C4" w:rsidRPr="004D3BF4">
        <w:rPr>
          <w:rFonts w:ascii="Cambria" w:hAnsi="Cambria"/>
          <w:color w:val="000000" w:themeColor="text1"/>
          <w:sz w:val="23"/>
          <w:szCs w:val="23"/>
        </w:rPr>
        <w:t>00</w:t>
      </w:r>
      <w:r w:rsidRPr="004D3BF4">
        <w:rPr>
          <w:rFonts w:ascii="Cambria" w:hAnsi="Cambria"/>
          <w:color w:val="000000" w:themeColor="text1"/>
          <w:sz w:val="23"/>
          <w:szCs w:val="23"/>
        </w:rPr>
        <w:t xml:space="preserve"> to 560</w:t>
      </w:r>
      <w:r w:rsidR="004351C4" w:rsidRPr="004D3BF4">
        <w:rPr>
          <w:rFonts w:ascii="Cambria" w:hAnsi="Cambria"/>
          <w:color w:val="000000" w:themeColor="text1"/>
          <w:sz w:val="23"/>
          <w:szCs w:val="23"/>
        </w:rPr>
        <w:t>0</w:t>
      </w:r>
      <w:r w:rsidRPr="004D3BF4">
        <w:rPr>
          <w:rFonts w:ascii="Cambria" w:hAnsi="Cambria"/>
          <w:color w:val="000000" w:themeColor="text1"/>
          <w:sz w:val="23"/>
          <w:szCs w:val="23"/>
        </w:rPr>
        <w:t xml:space="preserve"> (38 per cent increase) and Judaism from 2</w:t>
      </w:r>
      <w:r w:rsidR="004351C4" w:rsidRPr="004D3BF4">
        <w:rPr>
          <w:rFonts w:ascii="Cambria" w:hAnsi="Cambria"/>
          <w:color w:val="000000" w:themeColor="text1"/>
          <w:sz w:val="23"/>
          <w:szCs w:val="23"/>
        </w:rPr>
        <w:t>50</w:t>
      </w:r>
      <w:r w:rsidRPr="004D3BF4">
        <w:rPr>
          <w:rFonts w:ascii="Cambria" w:hAnsi="Cambria"/>
          <w:color w:val="000000" w:themeColor="text1"/>
          <w:sz w:val="23"/>
          <w:szCs w:val="23"/>
        </w:rPr>
        <w:t xml:space="preserve"> to 3</w:t>
      </w:r>
      <w:r w:rsidR="004351C4" w:rsidRPr="004D3BF4">
        <w:rPr>
          <w:rFonts w:ascii="Cambria" w:hAnsi="Cambria"/>
          <w:color w:val="000000" w:themeColor="text1"/>
          <w:sz w:val="23"/>
          <w:szCs w:val="23"/>
        </w:rPr>
        <w:t>80</w:t>
      </w:r>
      <w:r w:rsidRPr="004D3BF4">
        <w:rPr>
          <w:rFonts w:ascii="Cambria" w:hAnsi="Cambria"/>
          <w:color w:val="000000" w:themeColor="text1"/>
          <w:sz w:val="23"/>
          <w:szCs w:val="23"/>
        </w:rPr>
        <w:t xml:space="preserve"> (51 per cent increase). </w:t>
      </w:r>
    </w:p>
    <w:p w14:paraId="1CAE1994" w14:textId="77777777" w:rsidR="00F91A1B" w:rsidRPr="004D3BF4" w:rsidRDefault="00F91A1B" w:rsidP="00F91A1B">
      <w:pPr>
        <w:jc w:val="both"/>
        <w:rPr>
          <w:rFonts w:ascii="Cambria" w:hAnsi="Cambria"/>
          <w:color w:val="000000" w:themeColor="text1"/>
          <w:sz w:val="23"/>
          <w:szCs w:val="23"/>
        </w:rPr>
      </w:pPr>
    </w:p>
    <w:p w14:paraId="7D0584B4" w14:textId="045A225E" w:rsidR="004351C4" w:rsidRDefault="004351C4" w:rsidP="004351C4">
      <w:pPr>
        <w:jc w:val="center"/>
        <w:rPr>
          <w:rFonts w:ascii="Cambria" w:hAnsi="Cambria"/>
          <w:color w:val="000000" w:themeColor="text1"/>
        </w:rPr>
      </w:pPr>
      <w:r>
        <w:rPr>
          <w:noProof/>
        </w:rPr>
        <w:lastRenderedPageBreak/>
        <w:drawing>
          <wp:inline distT="0" distB="0" distL="0" distR="0" wp14:anchorId="10E5244D" wp14:editId="591D0A04">
            <wp:extent cx="4778477" cy="2871019"/>
            <wp:effectExtent l="0" t="0" r="9525" b="12065"/>
            <wp:docPr id="1110475975" name="Chart 1">
              <a:extLst xmlns:a="http://schemas.openxmlformats.org/drawingml/2006/main">
                <a:ext uri="{FF2B5EF4-FFF2-40B4-BE49-F238E27FC236}">
                  <a16:creationId xmlns:a16="http://schemas.microsoft.com/office/drawing/2014/main" id="{C42E54E3-7674-7E0D-C177-4434831B48A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4B093CE" w14:textId="74858D4C" w:rsidR="004351C4" w:rsidRPr="004351C4" w:rsidRDefault="004351C4" w:rsidP="004351C4">
      <w:pPr>
        <w:ind w:left="993" w:right="-347"/>
        <w:jc w:val="both"/>
        <w:rPr>
          <w:rFonts w:ascii="Cambria" w:hAnsi="Cambria"/>
          <w:sz w:val="20"/>
          <w:szCs w:val="20"/>
        </w:rPr>
      </w:pPr>
      <w:r w:rsidRPr="0092780B">
        <w:rPr>
          <w:rFonts w:ascii="Cambria" w:hAnsi="Cambria"/>
          <w:bCs/>
          <w:color w:val="000000" w:themeColor="text1"/>
          <w:sz w:val="20"/>
          <w:szCs w:val="20"/>
          <w:lang w:eastAsia="en-AU"/>
        </w:rPr>
        <w:t xml:space="preserve">Source: </w:t>
      </w:r>
      <w:r w:rsidRPr="0092780B">
        <w:rPr>
          <w:rFonts w:ascii="Cambria" w:hAnsi="Cambria"/>
          <w:sz w:val="20"/>
          <w:szCs w:val="20"/>
        </w:rPr>
        <w:t xml:space="preserve">Australian Bureau of Statistics, </w:t>
      </w:r>
      <w:r>
        <w:rPr>
          <w:rFonts w:ascii="Cambria" w:hAnsi="Cambria"/>
          <w:i/>
          <w:iCs/>
          <w:sz w:val="20"/>
          <w:szCs w:val="20"/>
        </w:rPr>
        <w:t>Census of Population and Housing 2021</w:t>
      </w:r>
      <w:r w:rsidRPr="0092780B">
        <w:rPr>
          <w:rFonts w:ascii="Cambria" w:hAnsi="Cambria"/>
          <w:sz w:val="20"/>
          <w:szCs w:val="20"/>
        </w:rPr>
        <w:t>,</w:t>
      </w:r>
      <w:r>
        <w:rPr>
          <w:rFonts w:ascii="Cambria" w:hAnsi="Cambria"/>
          <w:sz w:val="20"/>
          <w:szCs w:val="20"/>
        </w:rPr>
        <w:t xml:space="preserve"> </w:t>
      </w:r>
      <w:r w:rsidRPr="0092780B">
        <w:rPr>
          <w:rFonts w:ascii="Cambria" w:hAnsi="Cambria"/>
          <w:sz w:val="20"/>
          <w:szCs w:val="20"/>
        </w:rPr>
        <w:t>Table 1.</w:t>
      </w:r>
      <w:r w:rsidRPr="0092780B">
        <w:rPr>
          <w:rFonts w:ascii="Cambria" w:hAnsi="Cambria"/>
          <w:bCs/>
          <w:color w:val="000000" w:themeColor="text1"/>
          <w:sz w:val="20"/>
          <w:szCs w:val="20"/>
          <w:lang w:eastAsia="en-AU"/>
        </w:rPr>
        <w:t xml:space="preserve"> </w:t>
      </w:r>
    </w:p>
    <w:p w14:paraId="7BB00372" w14:textId="77777777" w:rsidR="004351C4" w:rsidRDefault="004351C4" w:rsidP="00F91A1B">
      <w:pPr>
        <w:jc w:val="both"/>
        <w:rPr>
          <w:rFonts w:ascii="Cambria" w:hAnsi="Cambria"/>
          <w:color w:val="000000" w:themeColor="text1"/>
        </w:rPr>
      </w:pPr>
    </w:p>
    <w:p w14:paraId="5966473B" w14:textId="7EFBB208" w:rsidR="0042170D" w:rsidRPr="004D3BF4" w:rsidRDefault="004351C4" w:rsidP="00F91A1B">
      <w:pPr>
        <w:jc w:val="both"/>
        <w:rPr>
          <w:rFonts w:ascii="Cambria" w:hAnsi="Cambria"/>
          <w:color w:val="000000" w:themeColor="text1"/>
          <w:sz w:val="23"/>
          <w:szCs w:val="23"/>
        </w:rPr>
      </w:pPr>
      <w:r w:rsidRPr="004D3BF4">
        <w:rPr>
          <w:rFonts w:ascii="Cambria" w:hAnsi="Cambria"/>
          <w:color w:val="000000" w:themeColor="text1"/>
          <w:sz w:val="23"/>
          <w:szCs w:val="23"/>
        </w:rPr>
        <w:t xml:space="preserve">As well, the number of Tasmanians identifying as indigenous has almost doubled from 15,773 in 2001 (3.5 per cent of Tasmania’s population) to 30,186 (5.4 per cent) in 2021. </w:t>
      </w:r>
      <w:r w:rsidR="00A359EC" w:rsidRPr="004D3BF4">
        <w:rPr>
          <w:rFonts w:ascii="Cambria" w:hAnsi="Cambria"/>
          <w:color w:val="000000" w:themeColor="text1"/>
          <w:sz w:val="23"/>
          <w:szCs w:val="23"/>
        </w:rPr>
        <w:t xml:space="preserve">The growing number of First Nations Tasmanians and those who affiliate with a religion other than Christianity strongly points to the need for an Act that </w:t>
      </w:r>
      <w:r w:rsidR="00CE11A7" w:rsidRPr="004D3BF4">
        <w:rPr>
          <w:rFonts w:ascii="Cambria" w:hAnsi="Cambria"/>
          <w:color w:val="000000" w:themeColor="text1"/>
          <w:sz w:val="23"/>
          <w:szCs w:val="23"/>
        </w:rPr>
        <w:t xml:space="preserve">recognises </w:t>
      </w:r>
      <w:r w:rsidR="00732D2B" w:rsidRPr="004D3BF4">
        <w:rPr>
          <w:rFonts w:ascii="Cambria" w:hAnsi="Cambria"/>
          <w:color w:val="000000" w:themeColor="text1"/>
          <w:sz w:val="23"/>
          <w:szCs w:val="23"/>
        </w:rPr>
        <w:t>other</w:t>
      </w:r>
      <w:r w:rsidR="00A359EC" w:rsidRPr="004D3BF4">
        <w:rPr>
          <w:rFonts w:ascii="Cambria" w:hAnsi="Cambria"/>
          <w:color w:val="000000" w:themeColor="text1"/>
          <w:sz w:val="23"/>
          <w:szCs w:val="23"/>
        </w:rPr>
        <w:t xml:space="preserve"> cultural and religious practices. </w:t>
      </w:r>
      <w:r w:rsidR="000A08E6" w:rsidRPr="004D3BF4">
        <w:rPr>
          <w:rFonts w:ascii="Cambria" w:hAnsi="Cambria"/>
          <w:color w:val="000000" w:themeColor="text1"/>
          <w:sz w:val="23"/>
          <w:szCs w:val="23"/>
        </w:rPr>
        <w:t>In Hinduism for example, no jewellery, sacred threads or other religious objects should be removed from the body. And in Islam, the health professional attending to the body should, where possible, be the same sex as the deceased.</w:t>
      </w:r>
      <w:r w:rsidR="000A08E6" w:rsidRPr="004D3BF4">
        <w:rPr>
          <w:rStyle w:val="FootnoteReference"/>
          <w:rFonts w:ascii="Cambria" w:hAnsi="Cambria"/>
          <w:color w:val="000000" w:themeColor="text1"/>
          <w:sz w:val="23"/>
          <w:szCs w:val="23"/>
        </w:rPr>
        <w:footnoteReference w:id="3"/>
      </w:r>
      <w:r w:rsidR="000A08E6" w:rsidRPr="004D3BF4">
        <w:rPr>
          <w:rFonts w:ascii="Cambria" w:hAnsi="Cambria"/>
          <w:color w:val="000000" w:themeColor="text1"/>
          <w:sz w:val="23"/>
          <w:szCs w:val="23"/>
        </w:rPr>
        <w:t xml:space="preserve"> </w:t>
      </w:r>
    </w:p>
    <w:p w14:paraId="5AB49009" w14:textId="77777777" w:rsidR="0042170D" w:rsidRPr="004D3BF4" w:rsidRDefault="0042170D" w:rsidP="00F91A1B">
      <w:pPr>
        <w:jc w:val="both"/>
        <w:rPr>
          <w:rFonts w:ascii="Cambria" w:hAnsi="Cambria"/>
          <w:color w:val="000000" w:themeColor="text1"/>
          <w:sz w:val="23"/>
          <w:szCs w:val="23"/>
        </w:rPr>
      </w:pPr>
    </w:p>
    <w:p w14:paraId="43D46B00" w14:textId="1BF71642" w:rsidR="00F91A1B" w:rsidRPr="004D3BF4" w:rsidRDefault="00A359EC" w:rsidP="00F91A1B">
      <w:pPr>
        <w:jc w:val="both"/>
        <w:rPr>
          <w:rFonts w:ascii="Cambria" w:hAnsi="Cambria"/>
          <w:i/>
          <w:iCs/>
          <w:sz w:val="23"/>
          <w:szCs w:val="23"/>
        </w:rPr>
      </w:pPr>
      <w:r w:rsidRPr="004D3BF4">
        <w:rPr>
          <w:rFonts w:ascii="Cambria" w:hAnsi="Cambria"/>
          <w:color w:val="000000" w:themeColor="text1"/>
          <w:sz w:val="23"/>
          <w:szCs w:val="23"/>
        </w:rPr>
        <w:t>Whilst the Act does recognise Australia’s First Nations peoples,</w:t>
      </w:r>
      <w:r w:rsidRPr="004D3BF4">
        <w:rPr>
          <w:rStyle w:val="FootnoteReference"/>
          <w:rFonts w:ascii="Cambria" w:hAnsi="Cambria"/>
          <w:color w:val="000000" w:themeColor="text1"/>
          <w:sz w:val="23"/>
          <w:szCs w:val="23"/>
        </w:rPr>
        <w:footnoteReference w:id="4"/>
      </w:r>
      <w:r w:rsidRPr="004D3BF4">
        <w:rPr>
          <w:rFonts w:ascii="Cambria" w:hAnsi="Cambria"/>
          <w:color w:val="000000" w:themeColor="text1"/>
          <w:sz w:val="23"/>
          <w:szCs w:val="23"/>
        </w:rPr>
        <w:t xml:space="preserve"> the recognition is limited and there is no express recognition of other cultur</w:t>
      </w:r>
      <w:r w:rsidR="00732DAB" w:rsidRPr="004D3BF4">
        <w:rPr>
          <w:rFonts w:ascii="Cambria" w:hAnsi="Cambria"/>
          <w:color w:val="000000" w:themeColor="text1"/>
          <w:sz w:val="23"/>
          <w:szCs w:val="23"/>
        </w:rPr>
        <w:t>al</w:t>
      </w:r>
      <w:r w:rsidRPr="004D3BF4">
        <w:rPr>
          <w:rFonts w:ascii="Cambria" w:hAnsi="Cambria"/>
          <w:color w:val="000000" w:themeColor="text1"/>
          <w:sz w:val="23"/>
          <w:szCs w:val="23"/>
        </w:rPr>
        <w:t xml:space="preserve"> or </w:t>
      </w:r>
      <w:r w:rsidR="00732DAB" w:rsidRPr="004D3BF4">
        <w:rPr>
          <w:rFonts w:ascii="Cambria" w:hAnsi="Cambria"/>
          <w:color w:val="000000" w:themeColor="text1"/>
          <w:sz w:val="23"/>
          <w:szCs w:val="23"/>
        </w:rPr>
        <w:t>religious practices</w:t>
      </w:r>
      <w:r w:rsidRPr="004D3BF4">
        <w:rPr>
          <w:rFonts w:ascii="Cambria" w:hAnsi="Cambria"/>
          <w:color w:val="000000" w:themeColor="text1"/>
          <w:sz w:val="23"/>
          <w:szCs w:val="23"/>
        </w:rPr>
        <w:t xml:space="preserve">. </w:t>
      </w:r>
      <w:r w:rsidR="00F91A1B" w:rsidRPr="004D3BF4">
        <w:rPr>
          <w:rFonts w:ascii="Cambria" w:hAnsi="Cambria"/>
          <w:color w:val="000000" w:themeColor="text1"/>
          <w:sz w:val="23"/>
          <w:szCs w:val="23"/>
        </w:rPr>
        <w:t xml:space="preserve">Similarly, whilst the </w:t>
      </w:r>
      <w:r w:rsidR="00163F45" w:rsidRPr="004D3BF4">
        <w:rPr>
          <w:rFonts w:ascii="Cambria" w:hAnsi="Cambria"/>
          <w:i/>
          <w:iCs/>
          <w:sz w:val="23"/>
          <w:szCs w:val="23"/>
        </w:rPr>
        <w:t>Tasmanian Coronial Practice Handbook</w:t>
      </w:r>
      <w:r w:rsidR="00163F45" w:rsidRPr="004D3BF4">
        <w:rPr>
          <w:rFonts w:ascii="Cambria" w:hAnsi="Cambria"/>
          <w:sz w:val="23"/>
          <w:szCs w:val="23"/>
        </w:rPr>
        <w:t xml:space="preserve"> </w:t>
      </w:r>
      <w:r w:rsidR="00732D2B" w:rsidRPr="004D3BF4">
        <w:rPr>
          <w:rFonts w:ascii="Cambria" w:hAnsi="Cambria"/>
          <w:color w:val="000000" w:themeColor="text1"/>
          <w:sz w:val="23"/>
          <w:szCs w:val="23"/>
        </w:rPr>
        <w:t xml:space="preserve">acknowledges </w:t>
      </w:r>
      <w:r w:rsidR="00F91A1B" w:rsidRPr="004D3BF4">
        <w:rPr>
          <w:rFonts w:ascii="Cambria" w:hAnsi="Cambria"/>
          <w:color w:val="000000" w:themeColor="text1"/>
          <w:sz w:val="23"/>
          <w:szCs w:val="23"/>
        </w:rPr>
        <w:t xml:space="preserve">other religions and cultures, the onus is on the </w:t>
      </w:r>
      <w:r w:rsidR="00CE11A7" w:rsidRPr="004D3BF4">
        <w:rPr>
          <w:rFonts w:ascii="Cambria" w:hAnsi="Cambria"/>
          <w:color w:val="000000" w:themeColor="text1"/>
          <w:sz w:val="23"/>
          <w:szCs w:val="23"/>
        </w:rPr>
        <w:t>senior next of kin</w:t>
      </w:r>
      <w:r w:rsidR="0047746F" w:rsidRPr="004D3BF4">
        <w:rPr>
          <w:rFonts w:ascii="Cambria" w:hAnsi="Cambria"/>
          <w:color w:val="000000" w:themeColor="text1"/>
          <w:sz w:val="23"/>
          <w:szCs w:val="23"/>
        </w:rPr>
        <w:t>/persons with sufficient interest</w:t>
      </w:r>
      <w:r w:rsidR="00F91A1B" w:rsidRPr="004D3BF4">
        <w:rPr>
          <w:rFonts w:ascii="Cambria" w:hAnsi="Cambria"/>
          <w:color w:val="000000" w:themeColor="text1"/>
          <w:sz w:val="23"/>
          <w:szCs w:val="23"/>
        </w:rPr>
        <w:t xml:space="preserve"> to report concerns to the </w:t>
      </w:r>
      <w:r w:rsidR="005C66ED" w:rsidRPr="004D3BF4">
        <w:rPr>
          <w:rFonts w:ascii="Cambria" w:hAnsi="Cambria"/>
          <w:color w:val="000000" w:themeColor="text1"/>
          <w:sz w:val="23"/>
          <w:szCs w:val="23"/>
        </w:rPr>
        <w:t>c</w:t>
      </w:r>
      <w:r w:rsidR="00F91A1B" w:rsidRPr="004D3BF4">
        <w:rPr>
          <w:rFonts w:ascii="Cambria" w:hAnsi="Cambria"/>
          <w:color w:val="000000" w:themeColor="text1"/>
          <w:sz w:val="23"/>
          <w:szCs w:val="23"/>
        </w:rPr>
        <w:t>oroner.</w:t>
      </w:r>
      <w:r w:rsidR="00F91A1B" w:rsidRPr="004D3BF4">
        <w:rPr>
          <w:rStyle w:val="FootnoteReference"/>
          <w:rFonts w:ascii="Cambria" w:hAnsi="Cambria"/>
          <w:color w:val="000000" w:themeColor="text1"/>
          <w:sz w:val="23"/>
          <w:szCs w:val="23"/>
        </w:rPr>
        <w:footnoteReference w:id="5"/>
      </w:r>
      <w:r w:rsidR="00163F45" w:rsidRPr="004D3BF4">
        <w:rPr>
          <w:rFonts w:ascii="Cambria" w:hAnsi="Cambria"/>
          <w:color w:val="000000" w:themeColor="text1"/>
          <w:sz w:val="23"/>
          <w:szCs w:val="23"/>
        </w:rPr>
        <w:t xml:space="preserve"> Given that the death of a loved one often leaves </w:t>
      </w:r>
      <w:r w:rsidR="0047746F" w:rsidRPr="004D3BF4">
        <w:rPr>
          <w:rFonts w:ascii="Cambria" w:hAnsi="Cambria"/>
          <w:color w:val="000000" w:themeColor="text1"/>
          <w:sz w:val="23"/>
          <w:szCs w:val="23"/>
        </w:rPr>
        <w:t>those</w:t>
      </w:r>
      <w:r w:rsidR="00163F45" w:rsidRPr="004D3BF4">
        <w:rPr>
          <w:rFonts w:ascii="Cambria" w:hAnsi="Cambria"/>
          <w:color w:val="000000" w:themeColor="text1"/>
          <w:sz w:val="23"/>
          <w:szCs w:val="23"/>
        </w:rPr>
        <w:t xml:space="preserve"> left behind in a state of </w:t>
      </w:r>
      <w:r w:rsidR="000A08E6" w:rsidRPr="004D3BF4">
        <w:rPr>
          <w:rFonts w:ascii="Cambria" w:hAnsi="Cambria"/>
          <w:color w:val="000000" w:themeColor="text1"/>
          <w:sz w:val="23"/>
          <w:szCs w:val="23"/>
        </w:rPr>
        <w:t xml:space="preserve">grief, </w:t>
      </w:r>
      <w:r w:rsidR="00163F45" w:rsidRPr="004D3BF4">
        <w:rPr>
          <w:rFonts w:ascii="Cambria" w:hAnsi="Cambria"/>
          <w:color w:val="000000" w:themeColor="text1"/>
          <w:sz w:val="23"/>
          <w:szCs w:val="23"/>
        </w:rPr>
        <w:t xml:space="preserve">shock and vulnerability we believe that the law </w:t>
      </w:r>
      <w:r w:rsidR="000A08E6" w:rsidRPr="004D3BF4">
        <w:rPr>
          <w:rFonts w:ascii="Cambria" w:hAnsi="Cambria"/>
          <w:color w:val="000000" w:themeColor="text1"/>
          <w:sz w:val="23"/>
          <w:szCs w:val="23"/>
        </w:rPr>
        <w:t>sh</w:t>
      </w:r>
      <w:r w:rsidR="00163F45" w:rsidRPr="004D3BF4">
        <w:rPr>
          <w:rFonts w:ascii="Cambria" w:hAnsi="Cambria"/>
          <w:color w:val="000000" w:themeColor="text1"/>
          <w:sz w:val="23"/>
          <w:szCs w:val="23"/>
        </w:rPr>
        <w:t xml:space="preserve">ould be strengthened so that </w:t>
      </w:r>
      <w:r w:rsidR="00732D2B" w:rsidRPr="004D3BF4">
        <w:rPr>
          <w:rFonts w:ascii="Cambria" w:hAnsi="Cambria"/>
          <w:color w:val="000000" w:themeColor="text1"/>
          <w:sz w:val="23"/>
          <w:szCs w:val="23"/>
        </w:rPr>
        <w:t>t</w:t>
      </w:r>
      <w:r w:rsidR="005C66ED" w:rsidRPr="004D3BF4">
        <w:rPr>
          <w:rFonts w:ascii="Cambria" w:hAnsi="Cambria"/>
          <w:color w:val="000000" w:themeColor="text1"/>
          <w:sz w:val="23"/>
          <w:szCs w:val="23"/>
        </w:rPr>
        <w:t>he c</w:t>
      </w:r>
      <w:r w:rsidR="00732D2B" w:rsidRPr="004D3BF4">
        <w:rPr>
          <w:rFonts w:ascii="Cambria" w:hAnsi="Cambria"/>
          <w:color w:val="000000" w:themeColor="text1"/>
          <w:sz w:val="23"/>
          <w:szCs w:val="23"/>
        </w:rPr>
        <w:t xml:space="preserve">oroner </w:t>
      </w:r>
      <w:r w:rsidR="00204B71" w:rsidRPr="004D3BF4">
        <w:rPr>
          <w:rFonts w:ascii="Cambria" w:hAnsi="Cambria"/>
          <w:color w:val="000000" w:themeColor="text1"/>
          <w:sz w:val="23"/>
          <w:szCs w:val="23"/>
        </w:rPr>
        <w:t xml:space="preserve">has a positive duty </w:t>
      </w:r>
      <w:r w:rsidR="000A08E6" w:rsidRPr="004D3BF4">
        <w:rPr>
          <w:rFonts w:ascii="Cambria" w:hAnsi="Cambria"/>
          <w:color w:val="000000" w:themeColor="text1"/>
          <w:sz w:val="23"/>
          <w:szCs w:val="23"/>
        </w:rPr>
        <w:t>in</w:t>
      </w:r>
      <w:r w:rsidR="00732D2B" w:rsidRPr="004D3BF4">
        <w:rPr>
          <w:rFonts w:ascii="Cambria" w:hAnsi="Cambria"/>
          <w:color w:val="000000" w:themeColor="text1"/>
          <w:sz w:val="23"/>
          <w:szCs w:val="23"/>
        </w:rPr>
        <w:t xml:space="preserve"> ensur</w:t>
      </w:r>
      <w:r w:rsidR="000A08E6" w:rsidRPr="004D3BF4">
        <w:rPr>
          <w:rFonts w:ascii="Cambria" w:hAnsi="Cambria"/>
          <w:color w:val="000000" w:themeColor="text1"/>
          <w:sz w:val="23"/>
          <w:szCs w:val="23"/>
        </w:rPr>
        <w:t xml:space="preserve">ing </w:t>
      </w:r>
      <w:r w:rsidR="00732D2B" w:rsidRPr="004D3BF4">
        <w:rPr>
          <w:rFonts w:ascii="Cambria" w:hAnsi="Cambria"/>
          <w:color w:val="000000" w:themeColor="text1"/>
          <w:sz w:val="23"/>
          <w:szCs w:val="23"/>
        </w:rPr>
        <w:t>that other religious and cultural practices are considered.</w:t>
      </w:r>
      <w:r w:rsidR="00204B71" w:rsidRPr="004D3BF4">
        <w:rPr>
          <w:rFonts w:ascii="Cambria" w:hAnsi="Cambria"/>
          <w:color w:val="000000" w:themeColor="text1"/>
          <w:sz w:val="23"/>
          <w:szCs w:val="23"/>
        </w:rPr>
        <w:t xml:space="preserve"> </w:t>
      </w:r>
      <w:r w:rsidR="000A08E6" w:rsidRPr="004D3BF4">
        <w:rPr>
          <w:rFonts w:ascii="Cambria" w:hAnsi="Cambria"/>
          <w:color w:val="000000" w:themeColor="text1"/>
          <w:sz w:val="23"/>
          <w:szCs w:val="23"/>
        </w:rPr>
        <w:t xml:space="preserve">The Victorian model provides a useful example with </w:t>
      </w:r>
      <w:r w:rsidRPr="004D3BF4">
        <w:rPr>
          <w:rFonts w:ascii="Cambria" w:hAnsi="Cambria"/>
          <w:color w:val="000000" w:themeColor="text1"/>
          <w:sz w:val="23"/>
          <w:szCs w:val="23"/>
        </w:rPr>
        <w:t xml:space="preserve">the </w:t>
      </w:r>
      <w:r w:rsidR="00732D2B" w:rsidRPr="004D3BF4">
        <w:rPr>
          <w:rFonts w:ascii="Cambria" w:hAnsi="Cambria"/>
          <w:color w:val="000000" w:themeColor="text1"/>
          <w:sz w:val="23"/>
          <w:szCs w:val="23"/>
        </w:rPr>
        <w:t xml:space="preserve">Act’s objectives include that, </w:t>
      </w:r>
      <w:r w:rsidRPr="004D3BF4">
        <w:rPr>
          <w:rFonts w:ascii="Cambria" w:hAnsi="Cambria"/>
          <w:color w:val="000000" w:themeColor="text1"/>
          <w:sz w:val="23"/>
          <w:szCs w:val="23"/>
        </w:rPr>
        <w:t>in exercising a function</w:t>
      </w:r>
      <w:r w:rsidR="00732D2B" w:rsidRPr="004D3BF4">
        <w:rPr>
          <w:rFonts w:ascii="Cambria" w:hAnsi="Cambria"/>
          <w:color w:val="000000" w:themeColor="text1"/>
          <w:sz w:val="23"/>
          <w:szCs w:val="23"/>
        </w:rPr>
        <w:t xml:space="preserve">, the coroner </w:t>
      </w:r>
      <w:r w:rsidRPr="004D3BF4">
        <w:rPr>
          <w:rFonts w:ascii="Cambria" w:hAnsi="Cambria"/>
          <w:color w:val="000000" w:themeColor="text1"/>
          <w:sz w:val="23"/>
          <w:szCs w:val="23"/>
        </w:rPr>
        <w:t>is expected to respect the cultural or religious practice</w:t>
      </w:r>
      <w:r w:rsidR="00732DAB" w:rsidRPr="004D3BF4">
        <w:rPr>
          <w:rFonts w:ascii="Cambria" w:hAnsi="Cambria"/>
          <w:color w:val="000000" w:themeColor="text1"/>
          <w:sz w:val="23"/>
          <w:szCs w:val="23"/>
        </w:rPr>
        <w:t>s</w:t>
      </w:r>
      <w:r w:rsidRPr="004D3BF4">
        <w:rPr>
          <w:rFonts w:ascii="Cambria" w:hAnsi="Cambria"/>
          <w:color w:val="000000" w:themeColor="text1"/>
          <w:sz w:val="23"/>
          <w:szCs w:val="23"/>
        </w:rPr>
        <w:t xml:space="preserve"> of the deceased.</w:t>
      </w:r>
      <w:r w:rsidRPr="004D3BF4">
        <w:rPr>
          <w:rStyle w:val="FootnoteReference"/>
          <w:rFonts w:ascii="Cambria" w:hAnsi="Cambria"/>
          <w:color w:val="000000" w:themeColor="text1"/>
          <w:sz w:val="23"/>
          <w:szCs w:val="23"/>
        </w:rPr>
        <w:footnoteReference w:id="6"/>
      </w:r>
      <w:r w:rsidRPr="004D3BF4">
        <w:rPr>
          <w:rFonts w:ascii="Cambria" w:hAnsi="Cambria"/>
          <w:color w:val="000000" w:themeColor="text1"/>
          <w:sz w:val="23"/>
          <w:szCs w:val="23"/>
        </w:rPr>
        <w:t xml:space="preserve"> </w:t>
      </w:r>
    </w:p>
    <w:p w14:paraId="404DC7DB" w14:textId="77777777" w:rsidR="00F91A1B" w:rsidRPr="004D3BF4" w:rsidRDefault="00F91A1B" w:rsidP="00F91A1B">
      <w:pPr>
        <w:jc w:val="both"/>
        <w:rPr>
          <w:rFonts w:ascii="Cambria" w:hAnsi="Cambria"/>
          <w:color w:val="000000" w:themeColor="text1"/>
          <w:sz w:val="23"/>
          <w:szCs w:val="23"/>
        </w:rPr>
      </w:pPr>
    </w:p>
    <w:p w14:paraId="5DF182DF" w14:textId="49CD2A13" w:rsidR="00A359EC" w:rsidRPr="004D3BF4" w:rsidRDefault="00A03CD5" w:rsidP="00F91A1B">
      <w:pPr>
        <w:jc w:val="both"/>
        <w:rPr>
          <w:rFonts w:ascii="Cambria" w:eastAsia="Times New Roman" w:hAnsi="Cambria" w:cs="Segoe UI"/>
          <w:color w:val="000000" w:themeColor="text1"/>
          <w:kern w:val="0"/>
          <w:sz w:val="23"/>
          <w:szCs w:val="23"/>
          <w:lang w:eastAsia="en-GB"/>
          <w14:ligatures w14:val="none"/>
        </w:rPr>
      </w:pPr>
      <w:r w:rsidRPr="004D3BF4">
        <w:rPr>
          <w:rFonts w:ascii="Cambria" w:hAnsi="Cambria"/>
          <w:color w:val="000000" w:themeColor="text1"/>
          <w:sz w:val="23"/>
          <w:szCs w:val="23"/>
        </w:rPr>
        <w:lastRenderedPageBreak/>
        <w:t xml:space="preserve">Whilst </w:t>
      </w:r>
      <w:r w:rsidR="00A359EC" w:rsidRPr="004D3BF4">
        <w:rPr>
          <w:rFonts w:ascii="Cambria" w:hAnsi="Cambria"/>
          <w:color w:val="000000" w:themeColor="text1"/>
          <w:sz w:val="23"/>
          <w:szCs w:val="23"/>
        </w:rPr>
        <w:t>Islam and J</w:t>
      </w:r>
      <w:r w:rsidRPr="004D3BF4">
        <w:rPr>
          <w:rFonts w:ascii="Cambria" w:hAnsi="Cambria"/>
          <w:color w:val="000000" w:themeColor="text1"/>
          <w:sz w:val="23"/>
          <w:szCs w:val="23"/>
        </w:rPr>
        <w:t xml:space="preserve">udaism </w:t>
      </w:r>
      <w:r w:rsidR="00A359EC" w:rsidRPr="004D3BF4">
        <w:rPr>
          <w:rFonts w:ascii="Cambria" w:hAnsi="Cambria"/>
          <w:color w:val="000000" w:themeColor="text1"/>
          <w:sz w:val="23"/>
          <w:szCs w:val="23"/>
        </w:rPr>
        <w:t>object to internal postmortem examinations unless required by law</w:t>
      </w:r>
      <w:r w:rsidRPr="004D3BF4">
        <w:rPr>
          <w:rFonts w:ascii="Cambria" w:hAnsi="Cambria"/>
          <w:color w:val="000000" w:themeColor="text1"/>
          <w:sz w:val="23"/>
          <w:szCs w:val="23"/>
        </w:rPr>
        <w:t>,</w:t>
      </w:r>
      <w:r w:rsidR="008A038B" w:rsidRPr="004D3BF4">
        <w:rPr>
          <w:rStyle w:val="FootnoteReference"/>
          <w:rFonts w:ascii="Cambria" w:hAnsi="Cambria"/>
          <w:color w:val="000000" w:themeColor="text1"/>
          <w:sz w:val="23"/>
          <w:szCs w:val="23"/>
        </w:rPr>
        <w:footnoteReference w:id="7"/>
      </w:r>
      <w:r w:rsidRPr="004D3BF4">
        <w:rPr>
          <w:rFonts w:ascii="Cambria" w:hAnsi="Cambria"/>
          <w:color w:val="000000" w:themeColor="text1"/>
          <w:sz w:val="23"/>
          <w:szCs w:val="23"/>
        </w:rPr>
        <w:t xml:space="preserve"> </w:t>
      </w:r>
      <w:r w:rsidR="0047746F" w:rsidRPr="004D3BF4">
        <w:rPr>
          <w:rFonts w:ascii="Cambria" w:hAnsi="Cambria"/>
          <w:color w:val="000000" w:themeColor="text1"/>
          <w:sz w:val="23"/>
          <w:szCs w:val="23"/>
        </w:rPr>
        <w:t xml:space="preserve">many </w:t>
      </w:r>
      <w:r w:rsidRPr="004D3BF4">
        <w:rPr>
          <w:rFonts w:ascii="Cambria" w:hAnsi="Cambria"/>
          <w:color w:val="000000" w:themeColor="text1"/>
          <w:sz w:val="23"/>
          <w:szCs w:val="23"/>
        </w:rPr>
        <w:t>other</w:t>
      </w:r>
      <w:r w:rsidR="001A2B7A" w:rsidRPr="004D3BF4">
        <w:rPr>
          <w:rFonts w:ascii="Cambria" w:hAnsi="Cambria"/>
          <w:color w:val="000000" w:themeColor="text1"/>
          <w:sz w:val="23"/>
          <w:szCs w:val="23"/>
        </w:rPr>
        <w:t>s</w:t>
      </w:r>
      <w:r w:rsidR="0047746F" w:rsidRPr="004D3BF4">
        <w:rPr>
          <w:rFonts w:ascii="Cambria" w:hAnsi="Cambria"/>
          <w:color w:val="000000" w:themeColor="text1"/>
          <w:sz w:val="23"/>
          <w:szCs w:val="23"/>
        </w:rPr>
        <w:t xml:space="preserve"> </w:t>
      </w:r>
      <w:r w:rsidRPr="004D3BF4">
        <w:rPr>
          <w:rFonts w:ascii="Cambria" w:hAnsi="Cambria"/>
          <w:color w:val="000000" w:themeColor="text1"/>
          <w:sz w:val="23"/>
          <w:szCs w:val="23"/>
        </w:rPr>
        <w:t>-</w:t>
      </w:r>
      <w:r w:rsidR="0047746F" w:rsidRPr="004D3BF4">
        <w:rPr>
          <w:rFonts w:ascii="Cambria" w:hAnsi="Cambria"/>
          <w:color w:val="000000" w:themeColor="text1"/>
          <w:sz w:val="23"/>
          <w:szCs w:val="23"/>
        </w:rPr>
        <w:t>regardless of cultural or religious background</w:t>
      </w:r>
      <w:r w:rsidRPr="004D3BF4">
        <w:rPr>
          <w:rFonts w:ascii="Cambria" w:hAnsi="Cambria"/>
          <w:color w:val="000000" w:themeColor="text1"/>
          <w:sz w:val="23"/>
          <w:szCs w:val="23"/>
        </w:rPr>
        <w:t>-</w:t>
      </w:r>
      <w:r w:rsidR="0047746F" w:rsidRPr="004D3BF4">
        <w:rPr>
          <w:rFonts w:ascii="Cambria" w:hAnsi="Cambria"/>
          <w:color w:val="000000" w:themeColor="text1"/>
          <w:sz w:val="23"/>
          <w:szCs w:val="23"/>
        </w:rPr>
        <w:t xml:space="preserve"> </w:t>
      </w:r>
      <w:r w:rsidRPr="004D3BF4">
        <w:rPr>
          <w:rFonts w:ascii="Cambria" w:hAnsi="Cambria"/>
          <w:color w:val="000000" w:themeColor="text1"/>
          <w:sz w:val="23"/>
          <w:szCs w:val="23"/>
        </w:rPr>
        <w:t xml:space="preserve">would also </w:t>
      </w:r>
      <w:r w:rsidR="0047746F" w:rsidRPr="004D3BF4">
        <w:rPr>
          <w:rFonts w:ascii="Cambria" w:hAnsi="Cambria"/>
          <w:color w:val="000000" w:themeColor="text1"/>
          <w:sz w:val="23"/>
          <w:szCs w:val="23"/>
        </w:rPr>
        <w:t xml:space="preserve">have a reluctance to </w:t>
      </w:r>
      <w:r w:rsidRPr="004D3BF4">
        <w:rPr>
          <w:rFonts w:ascii="Cambria" w:hAnsi="Cambria"/>
          <w:color w:val="000000" w:themeColor="text1"/>
          <w:sz w:val="23"/>
          <w:szCs w:val="23"/>
        </w:rPr>
        <w:t xml:space="preserve">agree to </w:t>
      </w:r>
      <w:r w:rsidR="005C66ED" w:rsidRPr="004D3BF4">
        <w:rPr>
          <w:rFonts w:ascii="Cambria" w:hAnsi="Cambria"/>
          <w:color w:val="000000" w:themeColor="text1"/>
          <w:sz w:val="23"/>
          <w:szCs w:val="23"/>
        </w:rPr>
        <w:t>internal postmortem autopsy</w:t>
      </w:r>
      <w:r w:rsidRPr="004D3BF4">
        <w:rPr>
          <w:rFonts w:ascii="Cambria" w:hAnsi="Cambria"/>
          <w:color w:val="000000" w:themeColor="text1"/>
          <w:sz w:val="23"/>
          <w:szCs w:val="23"/>
        </w:rPr>
        <w:t xml:space="preserve">. We therefore </w:t>
      </w:r>
      <w:r w:rsidR="00A359EC" w:rsidRPr="004D3BF4">
        <w:rPr>
          <w:rFonts w:ascii="Cambria" w:hAnsi="Cambria"/>
          <w:color w:val="000000" w:themeColor="text1"/>
          <w:sz w:val="23"/>
          <w:szCs w:val="23"/>
        </w:rPr>
        <w:t xml:space="preserve">recommend that the Act expressly recognise the preferencing of less invasive procedures where possible. A model that should be considered is New South Wales which </w:t>
      </w:r>
      <w:r w:rsidR="00A359EC" w:rsidRPr="004D3BF4">
        <w:rPr>
          <w:rFonts w:ascii="Cambria" w:eastAsia="Times New Roman" w:hAnsi="Cambria" w:cs="Segoe UI"/>
          <w:color w:val="000000" w:themeColor="text1"/>
          <w:kern w:val="0"/>
          <w:sz w:val="23"/>
          <w:szCs w:val="23"/>
          <w:lang w:eastAsia="en-GB"/>
          <w14:ligatures w14:val="none"/>
        </w:rPr>
        <w:t xml:space="preserve">expressly directs the use of the least invasive appropriate method </w:t>
      </w:r>
      <w:r w:rsidR="00732DAB" w:rsidRPr="004D3BF4">
        <w:rPr>
          <w:rFonts w:ascii="Cambria" w:eastAsia="Times New Roman" w:hAnsi="Cambria" w:cs="Segoe UI"/>
          <w:color w:val="000000" w:themeColor="text1"/>
          <w:kern w:val="0"/>
          <w:sz w:val="23"/>
          <w:szCs w:val="23"/>
          <w:lang w:eastAsia="en-GB"/>
          <w14:ligatures w14:val="none"/>
        </w:rPr>
        <w:t>and lists a range of</w:t>
      </w:r>
      <w:r w:rsidR="00A359EC" w:rsidRPr="004D3BF4">
        <w:rPr>
          <w:rFonts w:ascii="Cambria" w:eastAsia="Times New Roman" w:hAnsi="Cambria" w:cs="Segoe UI"/>
          <w:color w:val="000000" w:themeColor="text1"/>
          <w:kern w:val="0"/>
          <w:sz w:val="23"/>
          <w:szCs w:val="23"/>
          <w:lang w:eastAsia="en-GB"/>
          <w14:ligatures w14:val="none"/>
        </w:rPr>
        <w:t xml:space="preserve"> options including an external examination, a radiological examination, blood and tissue sampling or a partial postmortem examination.</w:t>
      </w:r>
      <w:r w:rsidR="00A359EC" w:rsidRPr="004D3BF4">
        <w:rPr>
          <w:rStyle w:val="FootnoteReference"/>
          <w:rFonts w:ascii="Cambria" w:eastAsia="Times New Roman" w:hAnsi="Cambria" w:cs="Segoe UI"/>
          <w:color w:val="000000" w:themeColor="text1"/>
          <w:kern w:val="0"/>
          <w:sz w:val="23"/>
          <w:szCs w:val="23"/>
          <w:lang w:eastAsia="en-GB"/>
          <w14:ligatures w14:val="none"/>
        </w:rPr>
        <w:footnoteReference w:id="8"/>
      </w:r>
    </w:p>
    <w:p w14:paraId="46811F06" w14:textId="77777777" w:rsidR="003A4507" w:rsidRPr="004D3BF4" w:rsidRDefault="003A4507" w:rsidP="00F91A1B">
      <w:pPr>
        <w:jc w:val="both"/>
        <w:rPr>
          <w:rFonts w:ascii="Cambria" w:eastAsia="Times New Roman" w:hAnsi="Cambria" w:cs="Segoe UI"/>
          <w:color w:val="000000" w:themeColor="text1"/>
          <w:kern w:val="0"/>
          <w:sz w:val="23"/>
          <w:szCs w:val="23"/>
          <w:lang w:eastAsia="en-GB"/>
          <w14:ligatures w14:val="none"/>
        </w:rPr>
      </w:pPr>
    </w:p>
    <w:p w14:paraId="1D6EB68B" w14:textId="274B92C5" w:rsidR="000A08E6" w:rsidRPr="004D3BF4" w:rsidRDefault="00DD38AA" w:rsidP="003A4507">
      <w:pPr>
        <w:pStyle w:val="NoSpacing"/>
        <w:jc w:val="both"/>
        <w:rPr>
          <w:rFonts w:ascii="Cambria" w:hAnsi="Cambria"/>
          <w:b/>
          <w:bCs/>
          <w:sz w:val="23"/>
          <w:szCs w:val="23"/>
        </w:rPr>
      </w:pPr>
      <w:r w:rsidRPr="004D3BF4">
        <w:rPr>
          <w:rFonts w:ascii="Cambria" w:hAnsi="Cambria"/>
          <w:b/>
          <w:bCs/>
          <w:sz w:val="23"/>
          <w:szCs w:val="23"/>
        </w:rPr>
        <w:t>Senior next of kin</w:t>
      </w:r>
    </w:p>
    <w:p w14:paraId="2CC488E3" w14:textId="715577A3" w:rsidR="007D7ACC" w:rsidRPr="004D3BF4" w:rsidRDefault="00423BE8" w:rsidP="003A4507">
      <w:pPr>
        <w:pStyle w:val="NoSpacing"/>
        <w:jc w:val="both"/>
        <w:rPr>
          <w:rFonts w:ascii="Cambria" w:hAnsi="Cambria"/>
          <w:color w:val="000000" w:themeColor="text1"/>
          <w:sz w:val="23"/>
          <w:szCs w:val="23"/>
        </w:rPr>
      </w:pPr>
      <w:r w:rsidRPr="004D3BF4">
        <w:rPr>
          <w:rFonts w:ascii="Cambria" w:hAnsi="Cambria"/>
          <w:color w:val="000000" w:themeColor="text1"/>
          <w:sz w:val="23"/>
          <w:szCs w:val="23"/>
        </w:rPr>
        <w:t>The</w:t>
      </w:r>
      <w:r w:rsidR="003D0C8F" w:rsidRPr="004D3BF4">
        <w:rPr>
          <w:rFonts w:ascii="Cambria" w:hAnsi="Cambria"/>
          <w:color w:val="000000" w:themeColor="text1"/>
          <w:sz w:val="23"/>
          <w:szCs w:val="23"/>
        </w:rPr>
        <w:t xml:space="preserve"> </w:t>
      </w:r>
      <w:r w:rsidRPr="004D3BF4">
        <w:rPr>
          <w:rFonts w:ascii="Cambria" w:hAnsi="Cambria"/>
          <w:color w:val="000000" w:themeColor="text1"/>
          <w:sz w:val="23"/>
          <w:szCs w:val="23"/>
        </w:rPr>
        <w:t>‘senior next of kin’ plays an important role in the coronial process including the ability to object to an autopsy or exhumation</w:t>
      </w:r>
      <w:r w:rsidR="00C267AC" w:rsidRPr="004D3BF4">
        <w:rPr>
          <w:rFonts w:ascii="Cambria" w:hAnsi="Cambria"/>
          <w:color w:val="000000" w:themeColor="text1"/>
          <w:sz w:val="23"/>
          <w:szCs w:val="23"/>
        </w:rPr>
        <w:t xml:space="preserve"> and being informed of the coroner’s decision in relation to the holding of an inquest</w:t>
      </w:r>
      <w:r w:rsidRPr="004D3BF4">
        <w:rPr>
          <w:rFonts w:ascii="Cambria" w:hAnsi="Cambria"/>
          <w:color w:val="000000" w:themeColor="text1"/>
          <w:sz w:val="23"/>
          <w:szCs w:val="23"/>
        </w:rPr>
        <w:t>.</w:t>
      </w:r>
      <w:r w:rsidR="00A03CD5" w:rsidRPr="004D3BF4">
        <w:rPr>
          <w:rStyle w:val="FootnoteReference"/>
          <w:rFonts w:ascii="Cambria" w:hAnsi="Cambria"/>
          <w:color w:val="000000" w:themeColor="text1"/>
          <w:sz w:val="23"/>
          <w:szCs w:val="23"/>
        </w:rPr>
        <w:footnoteReference w:id="9"/>
      </w:r>
      <w:r w:rsidR="00A03CD5" w:rsidRPr="004D3BF4">
        <w:rPr>
          <w:rFonts w:ascii="Cambria" w:hAnsi="Cambria"/>
          <w:color w:val="000000" w:themeColor="text1"/>
          <w:sz w:val="23"/>
          <w:szCs w:val="23"/>
        </w:rPr>
        <w:t xml:space="preserve"> </w:t>
      </w:r>
      <w:r w:rsidRPr="004D3BF4">
        <w:rPr>
          <w:rFonts w:ascii="Cambria" w:hAnsi="Cambria"/>
          <w:color w:val="000000" w:themeColor="text1"/>
          <w:sz w:val="23"/>
          <w:szCs w:val="23"/>
        </w:rPr>
        <w:t xml:space="preserve">To ensure that </w:t>
      </w:r>
      <w:r w:rsidR="00F00DB2" w:rsidRPr="004D3BF4">
        <w:rPr>
          <w:rFonts w:ascii="Cambria" w:hAnsi="Cambria"/>
          <w:color w:val="000000" w:themeColor="text1"/>
          <w:sz w:val="23"/>
          <w:szCs w:val="23"/>
        </w:rPr>
        <w:t xml:space="preserve">the </w:t>
      </w:r>
      <w:r w:rsidR="00F00DB2" w:rsidRPr="004D3BF4">
        <w:rPr>
          <w:rFonts w:ascii="Cambria" w:hAnsi="Cambria"/>
          <w:color w:val="000000" w:themeColor="text1"/>
          <w:sz w:val="23"/>
          <w:szCs w:val="23"/>
        </w:rPr>
        <w:t>appropriate person is appointed</w:t>
      </w:r>
      <w:r w:rsidR="00F00DB2" w:rsidRPr="004D3BF4">
        <w:rPr>
          <w:rFonts w:ascii="Cambria" w:hAnsi="Cambria"/>
          <w:color w:val="000000" w:themeColor="text1"/>
          <w:sz w:val="23"/>
          <w:szCs w:val="23"/>
        </w:rPr>
        <w:t xml:space="preserve"> and </w:t>
      </w:r>
      <w:r w:rsidRPr="004D3BF4">
        <w:rPr>
          <w:rFonts w:ascii="Cambria" w:hAnsi="Cambria"/>
          <w:color w:val="000000" w:themeColor="text1"/>
          <w:sz w:val="23"/>
          <w:szCs w:val="23"/>
        </w:rPr>
        <w:t>conflict is minim</w:t>
      </w:r>
      <w:r w:rsidR="00930237" w:rsidRPr="004D3BF4">
        <w:rPr>
          <w:rFonts w:ascii="Cambria" w:hAnsi="Cambria"/>
          <w:color w:val="000000" w:themeColor="text1"/>
          <w:sz w:val="23"/>
          <w:szCs w:val="23"/>
        </w:rPr>
        <w:t>ised</w:t>
      </w:r>
      <w:r w:rsidR="00F00DB2" w:rsidRPr="004D3BF4">
        <w:rPr>
          <w:rFonts w:ascii="Cambria" w:hAnsi="Cambria"/>
          <w:color w:val="000000" w:themeColor="text1"/>
          <w:sz w:val="23"/>
          <w:szCs w:val="23"/>
        </w:rPr>
        <w:t xml:space="preserve">, </w:t>
      </w:r>
      <w:r w:rsidRPr="004D3BF4">
        <w:rPr>
          <w:rFonts w:ascii="Cambria" w:hAnsi="Cambria"/>
          <w:color w:val="000000" w:themeColor="text1"/>
          <w:sz w:val="23"/>
          <w:szCs w:val="23"/>
        </w:rPr>
        <w:t xml:space="preserve">all States and Territories </w:t>
      </w:r>
      <w:r w:rsidR="00930237" w:rsidRPr="004D3BF4">
        <w:rPr>
          <w:rFonts w:ascii="Cambria" w:hAnsi="Cambria"/>
          <w:color w:val="000000" w:themeColor="text1"/>
          <w:sz w:val="23"/>
          <w:szCs w:val="23"/>
        </w:rPr>
        <w:t xml:space="preserve">provide a statutory </w:t>
      </w:r>
      <w:r w:rsidR="00F00DB2" w:rsidRPr="004D3BF4">
        <w:rPr>
          <w:rFonts w:ascii="Cambria" w:hAnsi="Cambria"/>
          <w:color w:val="000000" w:themeColor="text1"/>
          <w:sz w:val="23"/>
          <w:szCs w:val="23"/>
        </w:rPr>
        <w:t xml:space="preserve">hierarchy in which </w:t>
      </w:r>
      <w:r w:rsidR="003D0C8F" w:rsidRPr="004D3BF4">
        <w:rPr>
          <w:rFonts w:ascii="Cambria" w:hAnsi="Cambria"/>
          <w:color w:val="000000" w:themeColor="text1"/>
          <w:sz w:val="23"/>
          <w:szCs w:val="23"/>
        </w:rPr>
        <w:t xml:space="preserve">the first available person listed </w:t>
      </w:r>
      <w:r w:rsidR="00F00DB2" w:rsidRPr="004D3BF4">
        <w:rPr>
          <w:rFonts w:ascii="Cambria" w:hAnsi="Cambria"/>
          <w:color w:val="000000" w:themeColor="text1"/>
          <w:sz w:val="23"/>
          <w:szCs w:val="23"/>
        </w:rPr>
        <w:t>is</w:t>
      </w:r>
      <w:r w:rsidR="003D0C8F" w:rsidRPr="004D3BF4">
        <w:rPr>
          <w:rFonts w:ascii="Cambria" w:hAnsi="Cambria"/>
          <w:color w:val="000000" w:themeColor="text1"/>
          <w:sz w:val="23"/>
          <w:szCs w:val="23"/>
        </w:rPr>
        <w:t xml:space="preserve"> the senior next of kin</w:t>
      </w:r>
      <w:r w:rsidR="007D7ACC" w:rsidRPr="004D3BF4">
        <w:rPr>
          <w:rFonts w:ascii="Cambria" w:hAnsi="Cambria"/>
          <w:color w:val="000000" w:themeColor="text1"/>
          <w:sz w:val="23"/>
          <w:szCs w:val="23"/>
        </w:rPr>
        <w:t>.</w:t>
      </w:r>
      <w:r w:rsidR="007D7ACC" w:rsidRPr="004D3BF4">
        <w:rPr>
          <w:rStyle w:val="FootnoteReference"/>
          <w:rFonts w:ascii="Cambria" w:hAnsi="Cambria"/>
          <w:color w:val="000000" w:themeColor="text1"/>
          <w:sz w:val="23"/>
          <w:szCs w:val="23"/>
        </w:rPr>
        <w:footnoteReference w:id="10"/>
      </w:r>
    </w:p>
    <w:p w14:paraId="276808E6" w14:textId="77777777" w:rsidR="007D7ACC" w:rsidRPr="004D3BF4" w:rsidRDefault="007D7ACC" w:rsidP="003A4507">
      <w:pPr>
        <w:pStyle w:val="NoSpacing"/>
        <w:jc w:val="both"/>
        <w:rPr>
          <w:rFonts w:ascii="Cambria" w:hAnsi="Cambria"/>
          <w:color w:val="000000" w:themeColor="text1"/>
          <w:sz w:val="23"/>
          <w:szCs w:val="23"/>
        </w:rPr>
      </w:pPr>
    </w:p>
    <w:p w14:paraId="5436F168" w14:textId="05DC6AF7" w:rsidR="008B5EEF" w:rsidRPr="004D3BF4" w:rsidRDefault="00A03CD5" w:rsidP="003A4507">
      <w:pPr>
        <w:pStyle w:val="NoSpacing"/>
        <w:jc w:val="both"/>
        <w:rPr>
          <w:rFonts w:ascii="Cambria" w:hAnsi="Cambria"/>
          <w:color w:val="000000" w:themeColor="text1"/>
          <w:sz w:val="23"/>
          <w:szCs w:val="23"/>
        </w:rPr>
      </w:pPr>
      <w:r w:rsidRPr="004D3BF4">
        <w:rPr>
          <w:rFonts w:ascii="Cambria" w:hAnsi="Cambria"/>
          <w:color w:val="000000" w:themeColor="text1"/>
          <w:sz w:val="23"/>
          <w:szCs w:val="23"/>
        </w:rPr>
        <w:t>Compared with other Australian jurisdictions, the Tasmanian Act has a number of advantages including express recognition of the more recent spouse a</w:t>
      </w:r>
      <w:r w:rsidR="001A2B7A" w:rsidRPr="004D3BF4">
        <w:rPr>
          <w:rFonts w:ascii="Cambria" w:hAnsi="Cambria"/>
          <w:color w:val="000000" w:themeColor="text1"/>
          <w:sz w:val="23"/>
          <w:szCs w:val="23"/>
        </w:rPr>
        <w:t xml:space="preserve">s well as </w:t>
      </w:r>
      <w:r w:rsidRPr="004D3BF4">
        <w:rPr>
          <w:rFonts w:ascii="Cambria" w:hAnsi="Cambria"/>
          <w:color w:val="000000" w:themeColor="text1"/>
          <w:sz w:val="23"/>
          <w:szCs w:val="23"/>
        </w:rPr>
        <w:t>elders and other members of the Aboriginal community.</w:t>
      </w:r>
      <w:r w:rsidRPr="004D3BF4">
        <w:rPr>
          <w:rStyle w:val="FootnoteReference"/>
          <w:rFonts w:ascii="Cambria" w:hAnsi="Cambria"/>
          <w:color w:val="000000" w:themeColor="text1"/>
          <w:sz w:val="23"/>
          <w:szCs w:val="23"/>
        </w:rPr>
        <w:footnoteReference w:id="11"/>
      </w:r>
      <w:r w:rsidRPr="004D3BF4">
        <w:rPr>
          <w:rFonts w:ascii="Cambria" w:hAnsi="Cambria"/>
          <w:color w:val="000000" w:themeColor="text1"/>
          <w:sz w:val="23"/>
          <w:szCs w:val="23"/>
        </w:rPr>
        <w:t xml:space="preserve"> </w:t>
      </w:r>
      <w:r w:rsidR="008B5EEF" w:rsidRPr="004D3BF4">
        <w:rPr>
          <w:rFonts w:ascii="Cambria" w:hAnsi="Cambria"/>
          <w:color w:val="000000" w:themeColor="text1"/>
          <w:sz w:val="23"/>
          <w:szCs w:val="23"/>
        </w:rPr>
        <w:t>However, as the</w:t>
      </w:r>
      <w:r w:rsidR="007D7ACC" w:rsidRPr="004D3BF4">
        <w:rPr>
          <w:rFonts w:ascii="Cambria" w:hAnsi="Cambria"/>
          <w:color w:val="000000" w:themeColor="text1"/>
          <w:sz w:val="23"/>
          <w:szCs w:val="23"/>
        </w:rPr>
        <w:t xml:space="preserve"> Review</w:t>
      </w:r>
      <w:r w:rsidR="008B5EEF" w:rsidRPr="004D3BF4">
        <w:rPr>
          <w:rFonts w:ascii="Cambria" w:hAnsi="Cambria"/>
          <w:color w:val="000000" w:themeColor="text1"/>
          <w:sz w:val="23"/>
          <w:szCs w:val="23"/>
        </w:rPr>
        <w:t xml:space="preserve"> has observed, the </w:t>
      </w:r>
      <w:r w:rsidR="003D0C8F" w:rsidRPr="004D3BF4">
        <w:rPr>
          <w:rFonts w:ascii="Cambria" w:hAnsi="Cambria"/>
          <w:color w:val="000000" w:themeColor="text1"/>
          <w:sz w:val="23"/>
          <w:szCs w:val="23"/>
        </w:rPr>
        <w:t>list</w:t>
      </w:r>
      <w:r w:rsidR="008B5EEF" w:rsidRPr="004D3BF4">
        <w:rPr>
          <w:rFonts w:ascii="Cambria" w:hAnsi="Cambria"/>
          <w:color w:val="000000" w:themeColor="text1"/>
          <w:sz w:val="23"/>
          <w:szCs w:val="23"/>
        </w:rPr>
        <w:t xml:space="preserve"> </w:t>
      </w:r>
      <w:r w:rsidR="001759BA" w:rsidRPr="004D3BF4">
        <w:rPr>
          <w:rFonts w:ascii="Cambria" w:hAnsi="Cambria"/>
          <w:color w:val="000000" w:themeColor="text1"/>
          <w:sz w:val="23"/>
          <w:szCs w:val="23"/>
        </w:rPr>
        <w:t>can be problematic</w:t>
      </w:r>
      <w:r w:rsidR="008B5EEF" w:rsidRPr="004D3BF4">
        <w:rPr>
          <w:rFonts w:ascii="Cambria" w:hAnsi="Cambria"/>
          <w:color w:val="000000" w:themeColor="text1"/>
          <w:sz w:val="23"/>
          <w:szCs w:val="23"/>
        </w:rPr>
        <w:t xml:space="preserve"> with a</w:t>
      </w:r>
      <w:r w:rsidR="003D0C8F" w:rsidRPr="004D3BF4">
        <w:rPr>
          <w:rFonts w:ascii="Cambria" w:hAnsi="Cambria"/>
          <w:color w:val="000000" w:themeColor="text1"/>
          <w:sz w:val="23"/>
          <w:szCs w:val="23"/>
        </w:rPr>
        <w:t xml:space="preserve"> </w:t>
      </w:r>
      <w:r w:rsidR="00F00DB2" w:rsidRPr="004D3BF4">
        <w:rPr>
          <w:rFonts w:ascii="Cambria" w:hAnsi="Cambria"/>
          <w:color w:val="000000" w:themeColor="text1"/>
          <w:sz w:val="23"/>
          <w:szCs w:val="23"/>
        </w:rPr>
        <w:t xml:space="preserve">coroner required to select a </w:t>
      </w:r>
      <w:r w:rsidR="008B5EEF" w:rsidRPr="004D3BF4">
        <w:rPr>
          <w:rFonts w:ascii="Cambria" w:hAnsi="Cambria"/>
          <w:color w:val="000000" w:themeColor="text1"/>
          <w:sz w:val="23"/>
          <w:szCs w:val="23"/>
        </w:rPr>
        <w:t>spouse</w:t>
      </w:r>
      <w:r w:rsidR="00F00DB2" w:rsidRPr="004D3BF4">
        <w:rPr>
          <w:rFonts w:ascii="Cambria" w:hAnsi="Cambria"/>
          <w:color w:val="000000" w:themeColor="text1"/>
          <w:sz w:val="23"/>
          <w:szCs w:val="23"/>
        </w:rPr>
        <w:t xml:space="preserve"> </w:t>
      </w:r>
      <w:r w:rsidR="00CD5479" w:rsidRPr="004D3BF4">
        <w:rPr>
          <w:rFonts w:ascii="Cambria" w:hAnsi="Cambria"/>
          <w:color w:val="000000" w:themeColor="text1"/>
          <w:sz w:val="23"/>
          <w:szCs w:val="23"/>
        </w:rPr>
        <w:t xml:space="preserve">over an adult child </w:t>
      </w:r>
      <w:r w:rsidR="008B5EEF" w:rsidRPr="004D3BF4">
        <w:rPr>
          <w:rFonts w:ascii="Cambria" w:hAnsi="Cambria"/>
          <w:color w:val="000000" w:themeColor="text1"/>
          <w:sz w:val="23"/>
          <w:szCs w:val="23"/>
        </w:rPr>
        <w:t xml:space="preserve">even </w:t>
      </w:r>
      <w:r w:rsidR="00F00DB2" w:rsidRPr="004D3BF4">
        <w:rPr>
          <w:rFonts w:ascii="Cambria" w:hAnsi="Cambria"/>
          <w:color w:val="000000" w:themeColor="text1"/>
          <w:sz w:val="23"/>
          <w:szCs w:val="23"/>
        </w:rPr>
        <w:t>where</w:t>
      </w:r>
      <w:r w:rsidR="008B5EEF" w:rsidRPr="004D3BF4">
        <w:rPr>
          <w:rFonts w:ascii="Cambria" w:hAnsi="Cambria"/>
          <w:color w:val="000000" w:themeColor="text1"/>
          <w:sz w:val="23"/>
          <w:szCs w:val="23"/>
        </w:rPr>
        <w:t xml:space="preserve"> </w:t>
      </w:r>
      <w:r w:rsidR="00CD5479" w:rsidRPr="004D3BF4">
        <w:rPr>
          <w:rFonts w:ascii="Cambria" w:hAnsi="Cambria"/>
          <w:color w:val="000000" w:themeColor="text1"/>
          <w:sz w:val="23"/>
          <w:szCs w:val="23"/>
        </w:rPr>
        <w:t xml:space="preserve">the spouse </w:t>
      </w:r>
      <w:r w:rsidR="00F00DB2" w:rsidRPr="004D3BF4">
        <w:rPr>
          <w:rFonts w:ascii="Cambria" w:hAnsi="Cambria"/>
          <w:color w:val="000000" w:themeColor="text1"/>
          <w:sz w:val="23"/>
          <w:szCs w:val="23"/>
        </w:rPr>
        <w:t>wa</w:t>
      </w:r>
      <w:r w:rsidR="00CD5479" w:rsidRPr="004D3BF4">
        <w:rPr>
          <w:rFonts w:ascii="Cambria" w:hAnsi="Cambria"/>
          <w:color w:val="000000" w:themeColor="text1"/>
          <w:sz w:val="23"/>
          <w:szCs w:val="23"/>
        </w:rPr>
        <w:t>s estranged</w:t>
      </w:r>
      <w:r w:rsidR="003D0C8F" w:rsidRPr="004D3BF4">
        <w:rPr>
          <w:rFonts w:ascii="Cambria" w:hAnsi="Cambria"/>
          <w:color w:val="000000" w:themeColor="text1"/>
          <w:sz w:val="23"/>
          <w:szCs w:val="23"/>
        </w:rPr>
        <w:t xml:space="preserve"> </w:t>
      </w:r>
      <w:r w:rsidR="00CD5479" w:rsidRPr="004D3BF4">
        <w:rPr>
          <w:rFonts w:ascii="Cambria" w:hAnsi="Cambria"/>
          <w:color w:val="000000" w:themeColor="text1"/>
          <w:sz w:val="23"/>
          <w:szCs w:val="23"/>
        </w:rPr>
        <w:t xml:space="preserve">and the adult child </w:t>
      </w:r>
      <w:r w:rsidR="00C267AC" w:rsidRPr="004D3BF4">
        <w:rPr>
          <w:rFonts w:ascii="Cambria" w:hAnsi="Cambria"/>
          <w:color w:val="000000" w:themeColor="text1"/>
          <w:sz w:val="23"/>
          <w:szCs w:val="23"/>
        </w:rPr>
        <w:t xml:space="preserve">was in regular contact with the deceased. </w:t>
      </w:r>
      <w:r w:rsidR="001759BA" w:rsidRPr="004D3BF4">
        <w:rPr>
          <w:rFonts w:ascii="Cambria" w:hAnsi="Cambria"/>
          <w:color w:val="000000" w:themeColor="text1"/>
          <w:sz w:val="23"/>
          <w:szCs w:val="23"/>
        </w:rPr>
        <w:t>Concerns also arise where the senior next of kin’s mental status is uncertain</w:t>
      </w:r>
      <w:r w:rsidR="00997011" w:rsidRPr="004D3BF4">
        <w:rPr>
          <w:rFonts w:ascii="Cambria" w:hAnsi="Cambria"/>
          <w:color w:val="000000" w:themeColor="text1"/>
          <w:sz w:val="23"/>
          <w:szCs w:val="23"/>
        </w:rPr>
        <w:t xml:space="preserve"> or they are</w:t>
      </w:r>
      <w:r w:rsidR="001759BA" w:rsidRPr="004D3BF4">
        <w:rPr>
          <w:rFonts w:ascii="Cambria" w:hAnsi="Cambria"/>
          <w:color w:val="000000" w:themeColor="text1"/>
          <w:sz w:val="23"/>
          <w:szCs w:val="23"/>
        </w:rPr>
        <w:t xml:space="preserve"> very elderly.  </w:t>
      </w:r>
    </w:p>
    <w:p w14:paraId="28F4C3BD" w14:textId="77777777" w:rsidR="00F00DB2" w:rsidRPr="004D3BF4" w:rsidRDefault="00F00DB2" w:rsidP="003A4507">
      <w:pPr>
        <w:pStyle w:val="NoSpacing"/>
        <w:jc w:val="both"/>
        <w:rPr>
          <w:rFonts w:ascii="Cambria" w:hAnsi="Cambria"/>
          <w:color w:val="000000" w:themeColor="text1"/>
          <w:sz w:val="23"/>
          <w:szCs w:val="23"/>
        </w:rPr>
      </w:pPr>
    </w:p>
    <w:p w14:paraId="0EBD6813" w14:textId="3142F84B" w:rsidR="007D7ACC" w:rsidRPr="004D3BF4" w:rsidRDefault="00611C15" w:rsidP="003A4507">
      <w:pPr>
        <w:pStyle w:val="NoSpacing"/>
        <w:jc w:val="both"/>
        <w:rPr>
          <w:rFonts w:ascii="Cambria" w:hAnsi="Cambria"/>
          <w:color w:val="000000" w:themeColor="text1"/>
          <w:sz w:val="23"/>
          <w:szCs w:val="23"/>
        </w:rPr>
      </w:pPr>
      <w:r w:rsidRPr="004D3BF4">
        <w:rPr>
          <w:rFonts w:ascii="Cambria" w:hAnsi="Cambria"/>
          <w:color w:val="000000" w:themeColor="text1"/>
          <w:sz w:val="23"/>
          <w:szCs w:val="23"/>
        </w:rPr>
        <w:t>In most cases,</w:t>
      </w:r>
      <w:r w:rsidR="008E21EE" w:rsidRPr="004D3BF4">
        <w:rPr>
          <w:rFonts w:ascii="Cambria" w:hAnsi="Cambria"/>
          <w:color w:val="000000" w:themeColor="text1"/>
          <w:sz w:val="23"/>
          <w:szCs w:val="23"/>
        </w:rPr>
        <w:t xml:space="preserve"> “</w:t>
      </w:r>
      <w:r w:rsidR="008E21EE" w:rsidRPr="004D3BF4">
        <w:rPr>
          <w:rFonts w:ascii="Cambria" w:hAnsi="Cambria"/>
          <w:color w:val="000000" w:themeColor="text1"/>
          <w:sz w:val="23"/>
          <w:szCs w:val="23"/>
        </w:rPr>
        <w:t>coroners expect families to reach</w:t>
      </w:r>
      <w:r w:rsidR="008E21EE" w:rsidRPr="004D3BF4">
        <w:rPr>
          <w:rFonts w:ascii="Cambria" w:hAnsi="Cambria"/>
          <w:color w:val="000000" w:themeColor="text1"/>
          <w:sz w:val="23"/>
          <w:szCs w:val="23"/>
        </w:rPr>
        <w:t xml:space="preserve"> </w:t>
      </w:r>
      <w:r w:rsidR="008E21EE" w:rsidRPr="004D3BF4">
        <w:rPr>
          <w:rFonts w:ascii="Cambria" w:hAnsi="Cambria"/>
          <w:color w:val="000000" w:themeColor="text1"/>
          <w:sz w:val="23"/>
          <w:szCs w:val="23"/>
        </w:rPr>
        <w:t>an agreed position as to who is the single point of contact/senior next of kin</w:t>
      </w:r>
      <w:r w:rsidR="008E21EE" w:rsidRPr="004D3BF4">
        <w:rPr>
          <w:rFonts w:ascii="Cambria" w:hAnsi="Cambria"/>
          <w:color w:val="000000" w:themeColor="text1"/>
          <w:sz w:val="23"/>
          <w:szCs w:val="23"/>
        </w:rPr>
        <w:t>”,</w:t>
      </w:r>
      <w:r w:rsidR="008E21EE" w:rsidRPr="004D3BF4">
        <w:rPr>
          <w:rStyle w:val="FootnoteReference"/>
          <w:rFonts w:ascii="Cambria" w:hAnsi="Cambria"/>
          <w:color w:val="000000" w:themeColor="text1"/>
          <w:sz w:val="23"/>
          <w:szCs w:val="23"/>
        </w:rPr>
        <w:footnoteReference w:id="12"/>
      </w:r>
      <w:r w:rsidR="008E21EE" w:rsidRPr="004D3BF4">
        <w:rPr>
          <w:rFonts w:ascii="Cambria" w:hAnsi="Cambria"/>
          <w:color w:val="000000" w:themeColor="text1"/>
          <w:sz w:val="23"/>
          <w:szCs w:val="23"/>
        </w:rPr>
        <w:t xml:space="preserve"> </w:t>
      </w:r>
      <w:r w:rsidRPr="004D3BF4">
        <w:rPr>
          <w:rFonts w:ascii="Cambria" w:hAnsi="Cambria"/>
          <w:color w:val="000000" w:themeColor="text1"/>
          <w:sz w:val="23"/>
          <w:szCs w:val="23"/>
        </w:rPr>
        <w:t xml:space="preserve">but in the small </w:t>
      </w:r>
      <w:r w:rsidR="008E21EE" w:rsidRPr="004D3BF4">
        <w:rPr>
          <w:rFonts w:ascii="Cambria" w:hAnsi="Cambria"/>
          <w:color w:val="000000" w:themeColor="text1"/>
          <w:sz w:val="23"/>
          <w:szCs w:val="23"/>
        </w:rPr>
        <w:t>number</w:t>
      </w:r>
      <w:r w:rsidRPr="004D3BF4">
        <w:rPr>
          <w:rFonts w:ascii="Cambria" w:hAnsi="Cambria"/>
          <w:color w:val="000000" w:themeColor="text1"/>
          <w:sz w:val="23"/>
          <w:szCs w:val="23"/>
        </w:rPr>
        <w:t xml:space="preserve"> of cases in which there is no agreement, the coroner should have a broad discretion to determine the most appropriate</w:t>
      </w:r>
      <w:r w:rsidR="007D7ACC" w:rsidRPr="004D3BF4">
        <w:rPr>
          <w:rFonts w:ascii="Cambria" w:hAnsi="Cambria"/>
          <w:color w:val="000000" w:themeColor="text1"/>
          <w:sz w:val="23"/>
          <w:szCs w:val="23"/>
        </w:rPr>
        <w:t xml:space="preserve"> senior next of kin</w:t>
      </w:r>
      <w:r w:rsidRPr="004D3BF4">
        <w:rPr>
          <w:rFonts w:ascii="Cambria" w:hAnsi="Cambria"/>
          <w:color w:val="000000" w:themeColor="text1"/>
          <w:sz w:val="23"/>
          <w:szCs w:val="23"/>
        </w:rPr>
        <w:t>.</w:t>
      </w:r>
      <w:r w:rsidR="00EA2928" w:rsidRPr="004D3BF4">
        <w:rPr>
          <w:rFonts w:ascii="Cambria" w:hAnsi="Cambria"/>
          <w:color w:val="000000" w:themeColor="text1"/>
          <w:sz w:val="23"/>
          <w:szCs w:val="23"/>
        </w:rPr>
        <w:t xml:space="preserve"> </w:t>
      </w:r>
      <w:r w:rsidR="007D7ACC" w:rsidRPr="004D3BF4">
        <w:rPr>
          <w:rFonts w:ascii="Cambria" w:hAnsi="Cambria"/>
          <w:color w:val="000000" w:themeColor="text1"/>
          <w:sz w:val="23"/>
          <w:szCs w:val="23"/>
        </w:rPr>
        <w:t>Respecting the wishes of the deceased is crucial to the coronial process and the advantage of the coroner having the power to appoint the most appropriate person is that those wishes are more likely to be recognised.</w:t>
      </w:r>
      <w:r w:rsidR="001A2B7A" w:rsidRPr="004D3BF4">
        <w:rPr>
          <w:rFonts w:ascii="Cambria" w:hAnsi="Cambria"/>
          <w:color w:val="000000" w:themeColor="text1"/>
          <w:sz w:val="23"/>
          <w:szCs w:val="23"/>
        </w:rPr>
        <w:t xml:space="preserve"> It is also crucial that parties aggrieved by the </w:t>
      </w:r>
      <w:r w:rsidR="004D3BF4" w:rsidRPr="004D3BF4">
        <w:rPr>
          <w:rFonts w:ascii="Cambria" w:hAnsi="Cambria"/>
          <w:color w:val="000000" w:themeColor="text1"/>
          <w:sz w:val="23"/>
          <w:szCs w:val="23"/>
        </w:rPr>
        <w:t>coroner’s</w:t>
      </w:r>
      <w:r w:rsidR="001A2B7A" w:rsidRPr="004D3BF4">
        <w:rPr>
          <w:rFonts w:ascii="Cambria" w:hAnsi="Cambria"/>
          <w:color w:val="000000" w:themeColor="text1"/>
          <w:sz w:val="23"/>
          <w:szCs w:val="23"/>
        </w:rPr>
        <w:t xml:space="preserve"> decision are made aware that there is a right of appeal (see below).  </w:t>
      </w:r>
      <w:r w:rsidR="007D7ACC" w:rsidRPr="004D3BF4">
        <w:rPr>
          <w:rFonts w:ascii="Cambria" w:hAnsi="Cambria"/>
          <w:color w:val="000000" w:themeColor="text1"/>
          <w:sz w:val="23"/>
          <w:szCs w:val="23"/>
        </w:rPr>
        <w:t xml:space="preserve"> </w:t>
      </w:r>
    </w:p>
    <w:p w14:paraId="41832254" w14:textId="77777777" w:rsidR="007D7ACC" w:rsidRPr="004D3BF4" w:rsidRDefault="007D7ACC" w:rsidP="003A4507">
      <w:pPr>
        <w:pStyle w:val="NoSpacing"/>
        <w:jc w:val="both"/>
        <w:rPr>
          <w:rFonts w:ascii="Cambria" w:hAnsi="Cambria"/>
          <w:color w:val="000000" w:themeColor="text1"/>
          <w:sz w:val="23"/>
          <w:szCs w:val="23"/>
        </w:rPr>
      </w:pPr>
    </w:p>
    <w:p w14:paraId="77726B20" w14:textId="74B4256F" w:rsidR="0047746F" w:rsidRPr="004D3BF4" w:rsidRDefault="00DE7BD0" w:rsidP="003A4507">
      <w:pPr>
        <w:pStyle w:val="NoSpacing"/>
        <w:jc w:val="both"/>
        <w:rPr>
          <w:rFonts w:ascii="Cambria" w:hAnsi="Cambria"/>
          <w:color w:val="000000" w:themeColor="text1"/>
          <w:sz w:val="23"/>
          <w:szCs w:val="23"/>
        </w:rPr>
      </w:pPr>
      <w:r w:rsidRPr="004D3BF4">
        <w:rPr>
          <w:rFonts w:ascii="Cambria" w:hAnsi="Cambria"/>
          <w:color w:val="000000" w:themeColor="text1"/>
          <w:sz w:val="23"/>
          <w:szCs w:val="23"/>
        </w:rPr>
        <w:t xml:space="preserve">Similarly, while we </w:t>
      </w:r>
      <w:r w:rsidR="00D429C9" w:rsidRPr="004D3BF4">
        <w:rPr>
          <w:rFonts w:ascii="Cambria" w:hAnsi="Cambria"/>
          <w:color w:val="000000" w:themeColor="text1"/>
          <w:sz w:val="23"/>
          <w:szCs w:val="23"/>
        </w:rPr>
        <w:t xml:space="preserve">strongly </w:t>
      </w:r>
      <w:r w:rsidRPr="004D3BF4">
        <w:rPr>
          <w:rFonts w:ascii="Cambria" w:hAnsi="Cambria"/>
          <w:color w:val="000000" w:themeColor="text1"/>
          <w:sz w:val="23"/>
          <w:szCs w:val="23"/>
        </w:rPr>
        <w:t xml:space="preserve">support the </w:t>
      </w:r>
      <w:r w:rsidR="00D429C9" w:rsidRPr="004D3BF4">
        <w:rPr>
          <w:rFonts w:ascii="Cambria" w:hAnsi="Cambria"/>
          <w:color w:val="000000" w:themeColor="text1"/>
          <w:sz w:val="23"/>
          <w:szCs w:val="23"/>
        </w:rPr>
        <w:t>Act’s recognition of</w:t>
      </w:r>
      <w:r w:rsidRPr="004D3BF4">
        <w:rPr>
          <w:rFonts w:ascii="Cambria" w:hAnsi="Cambria"/>
          <w:color w:val="000000" w:themeColor="text1"/>
          <w:sz w:val="23"/>
          <w:szCs w:val="23"/>
        </w:rPr>
        <w:t xml:space="preserve"> </w:t>
      </w:r>
      <w:r w:rsidR="00D429C9" w:rsidRPr="004D3BF4">
        <w:rPr>
          <w:rFonts w:ascii="Cambria" w:hAnsi="Cambria"/>
          <w:color w:val="000000" w:themeColor="text1"/>
          <w:sz w:val="23"/>
          <w:szCs w:val="23"/>
        </w:rPr>
        <w:t>elders and other senior members of the Aboriginal community, we also believe that</w:t>
      </w:r>
      <w:r w:rsidR="008E21EE" w:rsidRPr="004D3BF4">
        <w:rPr>
          <w:rFonts w:ascii="Cambria" w:hAnsi="Cambria"/>
          <w:color w:val="000000" w:themeColor="text1"/>
          <w:sz w:val="23"/>
          <w:szCs w:val="23"/>
        </w:rPr>
        <w:t xml:space="preserve"> the Act should accommodate other cultural concepts of family and senior next of kin. </w:t>
      </w:r>
      <w:r w:rsidR="0047746F" w:rsidRPr="004D3BF4">
        <w:rPr>
          <w:rFonts w:ascii="Cambria" w:hAnsi="Cambria"/>
          <w:color w:val="000000" w:themeColor="text1"/>
          <w:sz w:val="23"/>
          <w:szCs w:val="23"/>
        </w:rPr>
        <w:t>A model that could be replicated is found in New Zealand where ‘immediate family’ is defined as including:</w:t>
      </w:r>
      <w:r w:rsidR="0047746F" w:rsidRPr="004D3BF4">
        <w:rPr>
          <w:rStyle w:val="FootnoteReference"/>
          <w:rFonts w:ascii="Cambria" w:hAnsi="Cambria"/>
          <w:color w:val="000000" w:themeColor="text1"/>
          <w:sz w:val="23"/>
          <w:szCs w:val="23"/>
        </w:rPr>
        <w:footnoteReference w:id="13"/>
      </w:r>
    </w:p>
    <w:p w14:paraId="2B161EB7" w14:textId="77777777" w:rsidR="0047746F" w:rsidRPr="004D3BF4" w:rsidRDefault="0047746F" w:rsidP="003A4507">
      <w:pPr>
        <w:pStyle w:val="NoSpacing"/>
        <w:jc w:val="both"/>
        <w:rPr>
          <w:rFonts w:ascii="Cambria" w:hAnsi="Cambria"/>
          <w:color w:val="000000" w:themeColor="text1"/>
          <w:sz w:val="23"/>
          <w:szCs w:val="23"/>
        </w:rPr>
      </w:pPr>
    </w:p>
    <w:p w14:paraId="68436BFA" w14:textId="77777777" w:rsidR="001A2B7A" w:rsidRPr="004D3BF4" w:rsidRDefault="001A2B7A" w:rsidP="003A4507">
      <w:pPr>
        <w:pStyle w:val="NoSpacing"/>
        <w:jc w:val="both"/>
        <w:rPr>
          <w:rFonts w:ascii="Cambria" w:hAnsi="Cambria"/>
          <w:color w:val="000000" w:themeColor="text1"/>
          <w:sz w:val="23"/>
          <w:szCs w:val="23"/>
        </w:rPr>
      </w:pPr>
    </w:p>
    <w:p w14:paraId="67DA2ECD" w14:textId="77777777" w:rsidR="0047746F" w:rsidRPr="004D3BF4" w:rsidRDefault="0047746F" w:rsidP="0047746F">
      <w:pPr>
        <w:pStyle w:val="NoSpacing"/>
        <w:ind w:left="720"/>
        <w:rPr>
          <w:rFonts w:ascii="Cambria" w:hAnsi="Cambria"/>
          <w:i/>
          <w:iCs/>
          <w:sz w:val="23"/>
          <w:szCs w:val="23"/>
        </w:rPr>
      </w:pPr>
      <w:r w:rsidRPr="004D3BF4">
        <w:rPr>
          <w:rFonts w:ascii="Cambria" w:hAnsi="Cambria"/>
          <w:b/>
          <w:bCs/>
          <w:i/>
          <w:iCs/>
          <w:sz w:val="23"/>
          <w:szCs w:val="23"/>
        </w:rPr>
        <w:t>immediate family</w:t>
      </w:r>
      <w:r w:rsidRPr="004D3BF4">
        <w:rPr>
          <w:rFonts w:ascii="Cambria" w:hAnsi="Cambria"/>
          <w:i/>
          <w:iCs/>
          <w:sz w:val="23"/>
          <w:szCs w:val="23"/>
        </w:rPr>
        <w:t xml:space="preserve">, in relation to a dead </w:t>
      </w:r>
      <w:proofErr w:type="gramStart"/>
      <w:r w:rsidRPr="004D3BF4">
        <w:rPr>
          <w:rFonts w:ascii="Cambria" w:hAnsi="Cambria"/>
          <w:i/>
          <w:iCs/>
          <w:sz w:val="23"/>
          <w:szCs w:val="23"/>
        </w:rPr>
        <w:t>person,—</w:t>
      </w:r>
      <w:proofErr w:type="gramEnd"/>
    </w:p>
    <w:p w14:paraId="62DCCB39" w14:textId="316EAA74" w:rsidR="0047746F" w:rsidRPr="004D3BF4" w:rsidRDefault="0047746F" w:rsidP="0047746F">
      <w:pPr>
        <w:pStyle w:val="NoSpacing"/>
        <w:ind w:left="720"/>
        <w:rPr>
          <w:rFonts w:ascii="Cambria" w:hAnsi="Cambria"/>
          <w:i/>
          <w:iCs/>
          <w:sz w:val="23"/>
          <w:szCs w:val="23"/>
        </w:rPr>
      </w:pPr>
      <w:r w:rsidRPr="004D3BF4">
        <w:rPr>
          <w:rFonts w:ascii="Cambria" w:hAnsi="Cambria"/>
          <w:i/>
          <w:iCs/>
          <w:sz w:val="23"/>
          <w:szCs w:val="23"/>
        </w:rPr>
        <w:t>(a)</w:t>
      </w:r>
      <w:r w:rsidRPr="004D3BF4">
        <w:rPr>
          <w:rFonts w:ascii="Cambria" w:hAnsi="Cambria"/>
          <w:i/>
          <w:iCs/>
          <w:sz w:val="23"/>
          <w:szCs w:val="23"/>
        </w:rPr>
        <w:t xml:space="preserve"> </w:t>
      </w:r>
      <w:r w:rsidRPr="004D3BF4">
        <w:rPr>
          <w:rFonts w:ascii="Cambria" w:hAnsi="Cambria"/>
          <w:i/>
          <w:iCs/>
          <w:sz w:val="23"/>
          <w:szCs w:val="23"/>
        </w:rPr>
        <w:t>means members of the dead person’s family, whānau, or other culturally recognised family group, who—</w:t>
      </w:r>
    </w:p>
    <w:p w14:paraId="376F0736" w14:textId="4DED583E" w:rsidR="0047746F" w:rsidRPr="004D3BF4" w:rsidRDefault="0047746F" w:rsidP="0047746F">
      <w:pPr>
        <w:pStyle w:val="NoSpacing"/>
        <w:ind w:left="720" w:firstLine="720"/>
        <w:rPr>
          <w:rFonts w:ascii="Cambria" w:hAnsi="Cambria"/>
          <w:i/>
          <w:iCs/>
          <w:sz w:val="23"/>
          <w:szCs w:val="23"/>
        </w:rPr>
      </w:pPr>
      <w:r w:rsidRPr="004D3BF4">
        <w:rPr>
          <w:rFonts w:ascii="Cambria" w:hAnsi="Cambria"/>
          <w:i/>
          <w:iCs/>
          <w:sz w:val="23"/>
          <w:szCs w:val="23"/>
        </w:rPr>
        <w:t>(</w:t>
      </w:r>
      <w:proofErr w:type="spellStart"/>
      <w:r w:rsidRPr="004D3BF4">
        <w:rPr>
          <w:rFonts w:ascii="Cambria" w:hAnsi="Cambria"/>
          <w:i/>
          <w:iCs/>
          <w:sz w:val="23"/>
          <w:szCs w:val="23"/>
        </w:rPr>
        <w:t>i</w:t>
      </w:r>
      <w:proofErr w:type="spellEnd"/>
      <w:r w:rsidRPr="004D3BF4">
        <w:rPr>
          <w:rFonts w:ascii="Cambria" w:hAnsi="Cambria"/>
          <w:i/>
          <w:iCs/>
          <w:sz w:val="23"/>
          <w:szCs w:val="23"/>
        </w:rPr>
        <w:t xml:space="preserve">) </w:t>
      </w:r>
      <w:r w:rsidRPr="004D3BF4">
        <w:rPr>
          <w:rFonts w:ascii="Cambria" w:hAnsi="Cambria"/>
          <w:i/>
          <w:iCs/>
          <w:sz w:val="23"/>
          <w:szCs w:val="23"/>
        </w:rPr>
        <w:t>were in a close relationship with the person; or</w:t>
      </w:r>
    </w:p>
    <w:p w14:paraId="41C0E9BE" w14:textId="7D893431" w:rsidR="0047746F" w:rsidRPr="004D3BF4" w:rsidRDefault="0047746F" w:rsidP="0047746F">
      <w:pPr>
        <w:pStyle w:val="NoSpacing"/>
        <w:ind w:left="1440"/>
        <w:rPr>
          <w:rFonts w:ascii="Cambria" w:hAnsi="Cambria"/>
          <w:i/>
          <w:iCs/>
          <w:sz w:val="23"/>
          <w:szCs w:val="23"/>
        </w:rPr>
      </w:pPr>
      <w:r w:rsidRPr="004D3BF4">
        <w:rPr>
          <w:rFonts w:ascii="Cambria" w:hAnsi="Cambria"/>
          <w:i/>
          <w:iCs/>
          <w:sz w:val="23"/>
          <w:szCs w:val="23"/>
        </w:rPr>
        <w:lastRenderedPageBreak/>
        <w:t>(ii)</w:t>
      </w:r>
      <w:r w:rsidRPr="004D3BF4">
        <w:rPr>
          <w:rFonts w:ascii="Cambria" w:hAnsi="Cambria"/>
          <w:i/>
          <w:iCs/>
          <w:sz w:val="23"/>
          <w:szCs w:val="23"/>
        </w:rPr>
        <w:t xml:space="preserve"> </w:t>
      </w:r>
      <w:r w:rsidRPr="004D3BF4">
        <w:rPr>
          <w:rFonts w:ascii="Cambria" w:hAnsi="Cambria"/>
          <w:i/>
          <w:iCs/>
          <w:sz w:val="23"/>
          <w:szCs w:val="23"/>
        </w:rPr>
        <w:t>had, in accordance with customs or traditions of the community of which the person was part, responsibility for, or an interest in, the person’s welfare and best interests; and</w:t>
      </w:r>
    </w:p>
    <w:p w14:paraId="7C23EA1F" w14:textId="6424D52A" w:rsidR="0047746F" w:rsidRPr="004D3BF4" w:rsidRDefault="0047746F" w:rsidP="0047746F">
      <w:pPr>
        <w:pStyle w:val="NoSpacing"/>
        <w:ind w:left="720"/>
        <w:rPr>
          <w:rFonts w:ascii="Cambria" w:hAnsi="Cambria"/>
          <w:i/>
          <w:iCs/>
          <w:sz w:val="23"/>
          <w:szCs w:val="23"/>
        </w:rPr>
      </w:pPr>
      <w:r w:rsidRPr="004D3BF4">
        <w:rPr>
          <w:rFonts w:ascii="Cambria" w:hAnsi="Cambria"/>
          <w:i/>
          <w:iCs/>
          <w:sz w:val="23"/>
          <w:szCs w:val="23"/>
        </w:rPr>
        <w:t>(b)</w:t>
      </w:r>
      <w:r w:rsidRPr="004D3BF4">
        <w:rPr>
          <w:rFonts w:ascii="Cambria" w:hAnsi="Cambria"/>
          <w:i/>
          <w:iCs/>
          <w:sz w:val="23"/>
          <w:szCs w:val="23"/>
        </w:rPr>
        <w:t xml:space="preserve"> </w:t>
      </w:r>
      <w:r w:rsidRPr="004D3BF4">
        <w:rPr>
          <w:rFonts w:ascii="Cambria" w:hAnsi="Cambria"/>
          <w:i/>
          <w:iCs/>
          <w:sz w:val="23"/>
          <w:szCs w:val="23"/>
        </w:rPr>
        <w:t>to avoid doubt, includes persons whose relationship to the dead person is, or is through 1 or more relationships that are, that or those of—</w:t>
      </w:r>
    </w:p>
    <w:p w14:paraId="20453A0D" w14:textId="797F9D66" w:rsidR="0047746F" w:rsidRPr="004D3BF4" w:rsidRDefault="0047746F" w:rsidP="0047746F">
      <w:pPr>
        <w:pStyle w:val="NoSpacing"/>
        <w:ind w:left="720" w:firstLine="720"/>
        <w:rPr>
          <w:rFonts w:ascii="Cambria" w:hAnsi="Cambria"/>
          <w:i/>
          <w:iCs/>
          <w:sz w:val="23"/>
          <w:szCs w:val="23"/>
        </w:rPr>
      </w:pPr>
      <w:r w:rsidRPr="004D3BF4">
        <w:rPr>
          <w:rFonts w:ascii="Cambria" w:hAnsi="Cambria"/>
          <w:i/>
          <w:iCs/>
          <w:sz w:val="23"/>
          <w:szCs w:val="23"/>
        </w:rPr>
        <w:t>(</w:t>
      </w:r>
      <w:proofErr w:type="spellStart"/>
      <w:r w:rsidRPr="004D3BF4">
        <w:rPr>
          <w:rFonts w:ascii="Cambria" w:hAnsi="Cambria"/>
          <w:i/>
          <w:iCs/>
          <w:sz w:val="23"/>
          <w:szCs w:val="23"/>
        </w:rPr>
        <w:t>i</w:t>
      </w:r>
      <w:proofErr w:type="spellEnd"/>
      <w:r w:rsidRPr="004D3BF4">
        <w:rPr>
          <w:rFonts w:ascii="Cambria" w:hAnsi="Cambria"/>
          <w:i/>
          <w:iCs/>
          <w:sz w:val="23"/>
          <w:szCs w:val="23"/>
        </w:rPr>
        <w:t xml:space="preserve">) </w:t>
      </w:r>
      <w:r w:rsidRPr="004D3BF4">
        <w:rPr>
          <w:rFonts w:ascii="Cambria" w:hAnsi="Cambria"/>
          <w:i/>
          <w:iCs/>
          <w:sz w:val="23"/>
          <w:szCs w:val="23"/>
        </w:rPr>
        <w:t>spouse, civil union partner, or de facto partner of the dead person:</w:t>
      </w:r>
    </w:p>
    <w:p w14:paraId="588FBC26" w14:textId="6E9F05D3" w:rsidR="0047746F" w:rsidRPr="004D3BF4" w:rsidRDefault="0047746F" w:rsidP="007D7ACC">
      <w:pPr>
        <w:pStyle w:val="NoSpacing"/>
        <w:ind w:left="1440"/>
        <w:rPr>
          <w:rFonts w:ascii="Cambria" w:hAnsi="Cambria"/>
          <w:i/>
          <w:iCs/>
          <w:sz w:val="23"/>
          <w:szCs w:val="23"/>
        </w:rPr>
      </w:pPr>
      <w:r w:rsidRPr="004D3BF4">
        <w:rPr>
          <w:rFonts w:ascii="Cambria" w:hAnsi="Cambria"/>
          <w:i/>
          <w:iCs/>
          <w:sz w:val="23"/>
          <w:szCs w:val="23"/>
        </w:rPr>
        <w:t>(ii)</w:t>
      </w:r>
      <w:r w:rsidRPr="004D3BF4">
        <w:rPr>
          <w:rFonts w:ascii="Cambria" w:hAnsi="Cambria"/>
          <w:i/>
          <w:iCs/>
          <w:sz w:val="23"/>
          <w:szCs w:val="23"/>
        </w:rPr>
        <w:t xml:space="preserve"> </w:t>
      </w:r>
      <w:r w:rsidRPr="004D3BF4">
        <w:rPr>
          <w:rFonts w:ascii="Cambria" w:hAnsi="Cambria"/>
          <w:i/>
          <w:iCs/>
          <w:sz w:val="23"/>
          <w:szCs w:val="23"/>
        </w:rPr>
        <w:t>child, parent, guardian, grandparent, brother, or sister of the dead person:</w:t>
      </w:r>
    </w:p>
    <w:p w14:paraId="1E8EEB12" w14:textId="036D784C" w:rsidR="0047746F" w:rsidRPr="004D3BF4" w:rsidRDefault="0047746F" w:rsidP="0047746F">
      <w:pPr>
        <w:pStyle w:val="NoSpacing"/>
        <w:ind w:left="720" w:firstLine="720"/>
        <w:rPr>
          <w:rFonts w:ascii="Cambria" w:hAnsi="Cambria"/>
          <w:i/>
          <w:iCs/>
          <w:sz w:val="23"/>
          <w:szCs w:val="23"/>
        </w:rPr>
      </w:pPr>
      <w:r w:rsidRPr="004D3BF4">
        <w:rPr>
          <w:rFonts w:ascii="Cambria" w:hAnsi="Cambria"/>
          <w:i/>
          <w:iCs/>
          <w:sz w:val="23"/>
          <w:szCs w:val="23"/>
        </w:rPr>
        <w:t>(iii)</w:t>
      </w:r>
      <w:r w:rsidRPr="004D3BF4">
        <w:rPr>
          <w:rFonts w:ascii="Cambria" w:hAnsi="Cambria"/>
          <w:i/>
          <w:iCs/>
          <w:sz w:val="23"/>
          <w:szCs w:val="23"/>
        </w:rPr>
        <w:t xml:space="preserve"> </w:t>
      </w:r>
      <w:r w:rsidRPr="004D3BF4">
        <w:rPr>
          <w:rFonts w:ascii="Cambria" w:hAnsi="Cambria"/>
          <w:i/>
          <w:iCs/>
          <w:sz w:val="23"/>
          <w:szCs w:val="23"/>
        </w:rPr>
        <w:t xml:space="preserve">stepchild, </w:t>
      </w:r>
      <w:r w:rsidR="007D7ACC" w:rsidRPr="004D3BF4">
        <w:rPr>
          <w:rFonts w:ascii="Cambria" w:hAnsi="Cambria"/>
          <w:i/>
          <w:iCs/>
          <w:sz w:val="23"/>
          <w:szCs w:val="23"/>
        </w:rPr>
        <w:t>stepparent</w:t>
      </w:r>
      <w:r w:rsidRPr="004D3BF4">
        <w:rPr>
          <w:rFonts w:ascii="Cambria" w:hAnsi="Cambria"/>
          <w:i/>
          <w:iCs/>
          <w:sz w:val="23"/>
          <w:szCs w:val="23"/>
        </w:rPr>
        <w:t>, stepbrother, or stepsister of the dead person</w:t>
      </w:r>
    </w:p>
    <w:p w14:paraId="7059D45D" w14:textId="7C76912D" w:rsidR="007E7D15" w:rsidRPr="004D3BF4" w:rsidRDefault="00D429C9" w:rsidP="003A4507">
      <w:pPr>
        <w:pStyle w:val="NoSpacing"/>
        <w:jc w:val="both"/>
        <w:rPr>
          <w:rFonts w:ascii="Cambria" w:hAnsi="Cambria"/>
          <w:color w:val="000000" w:themeColor="text1"/>
          <w:sz w:val="23"/>
          <w:szCs w:val="23"/>
        </w:rPr>
      </w:pPr>
      <w:r w:rsidRPr="004D3BF4">
        <w:rPr>
          <w:rFonts w:ascii="Cambria" w:hAnsi="Cambria"/>
          <w:color w:val="000000" w:themeColor="text1"/>
          <w:sz w:val="23"/>
          <w:szCs w:val="23"/>
        </w:rPr>
        <w:t xml:space="preserve">   </w:t>
      </w:r>
    </w:p>
    <w:p w14:paraId="52C5DD3A" w14:textId="46C453C1" w:rsidR="00CD1AA7" w:rsidRPr="004D3BF4" w:rsidRDefault="00CD1AA7" w:rsidP="00CD1AA7">
      <w:pPr>
        <w:pStyle w:val="NoSpacing"/>
        <w:numPr>
          <w:ilvl w:val="0"/>
          <w:numId w:val="4"/>
        </w:numPr>
        <w:jc w:val="both"/>
        <w:rPr>
          <w:rFonts w:ascii="Cambria" w:hAnsi="Cambria"/>
          <w:b/>
          <w:bCs/>
          <w:i/>
          <w:iCs/>
          <w:color w:val="000000" w:themeColor="text1"/>
          <w:sz w:val="23"/>
          <w:szCs w:val="23"/>
        </w:rPr>
      </w:pPr>
      <w:r w:rsidRPr="004D3BF4">
        <w:rPr>
          <w:rFonts w:ascii="Cambria" w:hAnsi="Cambria"/>
          <w:b/>
          <w:bCs/>
          <w:i/>
          <w:iCs/>
          <w:color w:val="000000" w:themeColor="text1"/>
          <w:sz w:val="23"/>
          <w:szCs w:val="23"/>
        </w:rPr>
        <w:t>Right of appeal</w:t>
      </w:r>
    </w:p>
    <w:p w14:paraId="2D4011E1" w14:textId="674EF81D" w:rsidR="003A4507" w:rsidRPr="004D3BF4" w:rsidRDefault="003A4507" w:rsidP="003A4507">
      <w:pPr>
        <w:pStyle w:val="NoSpacing"/>
        <w:jc w:val="both"/>
        <w:rPr>
          <w:rFonts w:ascii="Cambria" w:hAnsi="Cambria"/>
          <w:b/>
          <w:bCs/>
          <w:sz w:val="23"/>
          <w:szCs w:val="23"/>
        </w:rPr>
      </w:pPr>
      <w:r w:rsidRPr="004D3BF4">
        <w:rPr>
          <w:rFonts w:ascii="Cambria" w:hAnsi="Cambria"/>
          <w:color w:val="000000" w:themeColor="text1"/>
          <w:sz w:val="23"/>
          <w:szCs w:val="23"/>
        </w:rPr>
        <w:t>In 2015, Benjamin Jago, a young gay man found his partner dead in the</w:t>
      </w:r>
      <w:r w:rsidR="0042170D" w:rsidRPr="004D3BF4">
        <w:rPr>
          <w:rFonts w:ascii="Cambria" w:hAnsi="Cambria"/>
          <w:color w:val="000000" w:themeColor="text1"/>
          <w:sz w:val="23"/>
          <w:szCs w:val="23"/>
        </w:rPr>
        <w:t>ir home</w:t>
      </w:r>
      <w:r w:rsidRPr="004D3BF4">
        <w:rPr>
          <w:rFonts w:ascii="Cambria" w:hAnsi="Cambria"/>
          <w:color w:val="000000" w:themeColor="text1"/>
          <w:sz w:val="23"/>
          <w:szCs w:val="23"/>
        </w:rPr>
        <w:t xml:space="preserve">. Despite being in a relationship for around five years and owning a house together Jago was not recognised as ‘senior next of kin’ with the coroner’s office informing him that the relationship would only be recognised if registered with the Office of Births, Deaths and Marriages. When Jago contacted the Office, he was informed that the relationship could only be registered if both </w:t>
      </w:r>
      <w:r w:rsidR="004D3BF4" w:rsidRPr="004D3BF4">
        <w:rPr>
          <w:rFonts w:ascii="Cambria" w:hAnsi="Cambria"/>
          <w:color w:val="000000" w:themeColor="text1"/>
          <w:sz w:val="23"/>
          <w:szCs w:val="23"/>
        </w:rPr>
        <w:t>Jago and his deceased partner</w:t>
      </w:r>
      <w:r w:rsidRPr="004D3BF4">
        <w:rPr>
          <w:rFonts w:ascii="Cambria" w:hAnsi="Cambria"/>
          <w:color w:val="000000" w:themeColor="text1"/>
          <w:sz w:val="23"/>
          <w:szCs w:val="23"/>
        </w:rPr>
        <w:t xml:space="preserve"> agreed. The body of Jago’s partner was subsequently released to his mother and meant that Jago was “refused the opportunity to see [his partner’s] body, had no role to play in the funeral and had no say in the burial arrangements”.</w:t>
      </w:r>
      <w:r w:rsidRPr="004D3BF4">
        <w:rPr>
          <w:rStyle w:val="FootnoteReference"/>
          <w:rFonts w:ascii="Cambria" w:hAnsi="Cambria"/>
          <w:color w:val="000000" w:themeColor="text1"/>
          <w:sz w:val="23"/>
          <w:szCs w:val="23"/>
        </w:rPr>
        <w:footnoteReference w:id="14"/>
      </w:r>
      <w:r w:rsidRPr="004D3BF4">
        <w:rPr>
          <w:rFonts w:ascii="Cambria" w:hAnsi="Cambria"/>
          <w:color w:val="000000" w:themeColor="text1"/>
          <w:sz w:val="23"/>
          <w:szCs w:val="23"/>
        </w:rPr>
        <w:t xml:space="preserve"> In a newspaper article, Jago said “To be treated like I meant nothing to him and was not even a part of his life left me feeling like a part of my soul has been crushed into dust”.</w:t>
      </w:r>
      <w:r w:rsidRPr="004D3BF4">
        <w:rPr>
          <w:rStyle w:val="FootnoteReference"/>
          <w:rFonts w:ascii="Cambria" w:hAnsi="Cambria"/>
          <w:color w:val="000000" w:themeColor="text1"/>
          <w:sz w:val="23"/>
          <w:szCs w:val="23"/>
        </w:rPr>
        <w:footnoteReference w:id="15"/>
      </w:r>
    </w:p>
    <w:p w14:paraId="0DFAA003" w14:textId="77777777" w:rsidR="003A4507" w:rsidRPr="004D3BF4" w:rsidRDefault="003A4507" w:rsidP="003A4507">
      <w:pPr>
        <w:pStyle w:val="NoSpacing"/>
        <w:jc w:val="both"/>
        <w:rPr>
          <w:rFonts w:ascii="Cambria" w:hAnsi="Cambria"/>
          <w:color w:val="000000" w:themeColor="text1"/>
          <w:sz w:val="23"/>
          <w:szCs w:val="23"/>
        </w:rPr>
      </w:pPr>
    </w:p>
    <w:p w14:paraId="62D93A33" w14:textId="77777777" w:rsidR="003A4507" w:rsidRPr="004D3BF4" w:rsidRDefault="003A4507" w:rsidP="003A4507">
      <w:pPr>
        <w:pStyle w:val="NoSpacing"/>
        <w:jc w:val="both"/>
        <w:rPr>
          <w:rFonts w:ascii="Cambria" w:hAnsi="Cambria"/>
          <w:color w:val="000000" w:themeColor="text1"/>
          <w:sz w:val="23"/>
          <w:szCs w:val="23"/>
        </w:rPr>
      </w:pPr>
      <w:r w:rsidRPr="004D3BF4">
        <w:rPr>
          <w:rFonts w:ascii="Cambria" w:hAnsi="Cambria"/>
          <w:sz w:val="23"/>
          <w:szCs w:val="23"/>
        </w:rPr>
        <w:t xml:space="preserve">Jago filed a complaint of discrimination with Equal Opportunity Tasmania who found that there was an arguable case. On referral, the Anti-Discrimination Tribunal ruled that the coroner had immunity pursuant to the </w:t>
      </w:r>
      <w:r w:rsidRPr="004D3BF4">
        <w:rPr>
          <w:rFonts w:ascii="Cambria" w:hAnsi="Cambria"/>
          <w:i/>
          <w:iCs/>
          <w:sz w:val="23"/>
          <w:szCs w:val="23"/>
        </w:rPr>
        <w:t>Coroners Act 1995</w:t>
      </w:r>
      <w:r w:rsidRPr="004D3BF4">
        <w:rPr>
          <w:rFonts w:ascii="Cambria" w:hAnsi="Cambria"/>
          <w:sz w:val="23"/>
          <w:szCs w:val="23"/>
        </w:rPr>
        <w:t xml:space="preserve"> (</w:t>
      </w:r>
      <w:proofErr w:type="spellStart"/>
      <w:r w:rsidRPr="004D3BF4">
        <w:rPr>
          <w:rFonts w:ascii="Cambria" w:hAnsi="Cambria"/>
          <w:sz w:val="23"/>
          <w:szCs w:val="23"/>
        </w:rPr>
        <w:t>Cth</w:t>
      </w:r>
      <w:proofErr w:type="spellEnd"/>
      <w:r w:rsidRPr="004D3BF4">
        <w:rPr>
          <w:rFonts w:ascii="Cambria" w:hAnsi="Cambria"/>
          <w:sz w:val="23"/>
          <w:szCs w:val="23"/>
        </w:rPr>
        <w:t xml:space="preserve">) and the </w:t>
      </w:r>
      <w:r w:rsidRPr="004D3BF4">
        <w:rPr>
          <w:rFonts w:ascii="Cambria" w:hAnsi="Cambria"/>
          <w:i/>
          <w:iCs/>
          <w:sz w:val="23"/>
          <w:szCs w:val="23"/>
        </w:rPr>
        <w:t>Magistrates Court Act 1987</w:t>
      </w:r>
      <w:r w:rsidRPr="004D3BF4">
        <w:rPr>
          <w:rFonts w:ascii="Cambria" w:hAnsi="Cambria"/>
          <w:sz w:val="23"/>
          <w:szCs w:val="23"/>
        </w:rPr>
        <w:t xml:space="preserve"> (Tas) and as a result the Tribunal did not have jurisdiction. On appeal, the Supreme Court upheld the Tribunal’s decision.</w:t>
      </w:r>
      <w:r w:rsidRPr="004D3BF4">
        <w:rPr>
          <w:rStyle w:val="FootnoteReference"/>
          <w:rFonts w:ascii="Cambria" w:hAnsi="Cambria"/>
          <w:sz w:val="23"/>
          <w:szCs w:val="23"/>
        </w:rPr>
        <w:footnoteReference w:id="16"/>
      </w:r>
      <w:r w:rsidRPr="004D3BF4">
        <w:rPr>
          <w:rFonts w:ascii="Cambria" w:hAnsi="Cambria"/>
          <w:sz w:val="23"/>
          <w:szCs w:val="23"/>
        </w:rPr>
        <w:t xml:space="preserve"> </w:t>
      </w:r>
    </w:p>
    <w:p w14:paraId="429AAFB0" w14:textId="77777777" w:rsidR="003A4507" w:rsidRPr="004D3BF4" w:rsidRDefault="003A4507" w:rsidP="003A4507">
      <w:pPr>
        <w:jc w:val="both"/>
        <w:rPr>
          <w:rFonts w:ascii="Cambria" w:hAnsi="Cambria"/>
          <w:sz w:val="23"/>
          <w:szCs w:val="23"/>
        </w:rPr>
      </w:pPr>
    </w:p>
    <w:p w14:paraId="4352C1C3" w14:textId="77777777" w:rsidR="003A4507" w:rsidRPr="004D3BF4" w:rsidRDefault="003A4507" w:rsidP="003A4507">
      <w:pPr>
        <w:jc w:val="both"/>
        <w:rPr>
          <w:rFonts w:ascii="Cambria" w:hAnsi="Cambria"/>
          <w:sz w:val="23"/>
          <w:szCs w:val="23"/>
        </w:rPr>
      </w:pPr>
      <w:r w:rsidRPr="004D3BF4">
        <w:rPr>
          <w:rFonts w:ascii="Cambria" w:hAnsi="Cambria"/>
          <w:sz w:val="23"/>
          <w:szCs w:val="23"/>
        </w:rPr>
        <w:t>Following the Supreme Court decision, law reform was pursued on the basis that it was not clear that an aggrieved party had a right of appeal to the Supreme Court against a coroner’s senior next of kin determination. Following advocacy by Equality Tasmania, a Bill was tabled by the Attorney-General who observed in her Second Reading Speech:</w:t>
      </w:r>
      <w:r w:rsidRPr="004D3BF4">
        <w:rPr>
          <w:rStyle w:val="FootnoteReference"/>
          <w:rFonts w:ascii="Cambria" w:hAnsi="Cambria"/>
          <w:sz w:val="23"/>
          <w:szCs w:val="23"/>
        </w:rPr>
        <w:footnoteReference w:id="17"/>
      </w:r>
      <w:r w:rsidRPr="004D3BF4">
        <w:rPr>
          <w:rFonts w:ascii="Cambria" w:hAnsi="Cambria"/>
          <w:sz w:val="23"/>
          <w:szCs w:val="23"/>
        </w:rPr>
        <w:t xml:space="preserve"> </w:t>
      </w:r>
    </w:p>
    <w:p w14:paraId="58E032F9" w14:textId="77777777" w:rsidR="003A4507" w:rsidRPr="004D3BF4" w:rsidRDefault="003A4507" w:rsidP="003A4507">
      <w:pPr>
        <w:jc w:val="both"/>
        <w:rPr>
          <w:rFonts w:ascii="Cambria" w:hAnsi="Cambria"/>
          <w:sz w:val="23"/>
          <w:szCs w:val="23"/>
        </w:rPr>
      </w:pPr>
    </w:p>
    <w:p w14:paraId="2C107232" w14:textId="77777777" w:rsidR="003A4507" w:rsidRPr="004D3BF4" w:rsidRDefault="003A4507" w:rsidP="003A4507">
      <w:pPr>
        <w:ind w:left="720"/>
        <w:jc w:val="both"/>
        <w:rPr>
          <w:rFonts w:ascii="Cambria" w:hAnsi="Cambria"/>
          <w:i/>
          <w:iCs/>
          <w:sz w:val="23"/>
          <w:szCs w:val="23"/>
        </w:rPr>
      </w:pPr>
      <w:r w:rsidRPr="004D3BF4">
        <w:rPr>
          <w:rFonts w:ascii="Cambria" w:hAnsi="Cambria"/>
          <w:i/>
          <w:iCs/>
          <w:sz w:val="23"/>
          <w:szCs w:val="23"/>
        </w:rPr>
        <w:t xml:space="preserve">The Bill’s amendment responds to a case in 2015 where the deceased’s spouse (as defined under the Relationships Act) was initially, incorrectly, not recognised as the spouse, and thus as the respective senior next of kin. Although that was ultimately corrected by the </w:t>
      </w:r>
      <w:proofErr w:type="gramStart"/>
      <w:r w:rsidRPr="004D3BF4">
        <w:rPr>
          <w:rFonts w:ascii="Cambria" w:hAnsi="Cambria"/>
          <w:i/>
          <w:iCs/>
          <w:sz w:val="23"/>
          <w:szCs w:val="23"/>
        </w:rPr>
        <w:t>Coroner</w:t>
      </w:r>
      <w:proofErr w:type="gramEnd"/>
      <w:r w:rsidRPr="004D3BF4">
        <w:rPr>
          <w:rFonts w:ascii="Cambria" w:hAnsi="Cambria"/>
          <w:i/>
          <w:iCs/>
          <w:sz w:val="23"/>
          <w:szCs w:val="23"/>
        </w:rPr>
        <w:t>, that initial decision was understandably very distressing for that surviving spouse.</w:t>
      </w:r>
    </w:p>
    <w:p w14:paraId="0DF9A5AF" w14:textId="77777777" w:rsidR="003A4507" w:rsidRPr="004D3BF4" w:rsidRDefault="003A4507" w:rsidP="003A4507">
      <w:pPr>
        <w:ind w:left="720"/>
        <w:jc w:val="both"/>
        <w:rPr>
          <w:rFonts w:ascii="Cambria" w:hAnsi="Cambria"/>
          <w:i/>
          <w:iCs/>
          <w:sz w:val="23"/>
          <w:szCs w:val="23"/>
        </w:rPr>
      </w:pPr>
    </w:p>
    <w:p w14:paraId="3D55E2EC" w14:textId="77777777" w:rsidR="003A4507" w:rsidRPr="004D3BF4" w:rsidRDefault="003A4507" w:rsidP="003A4507">
      <w:pPr>
        <w:ind w:left="720"/>
        <w:jc w:val="both"/>
        <w:rPr>
          <w:rFonts w:ascii="Cambria" w:hAnsi="Cambria"/>
          <w:i/>
          <w:iCs/>
          <w:sz w:val="23"/>
          <w:szCs w:val="23"/>
        </w:rPr>
      </w:pPr>
      <w:r w:rsidRPr="004D3BF4">
        <w:rPr>
          <w:rFonts w:ascii="Cambria" w:hAnsi="Cambria"/>
          <w:i/>
          <w:iCs/>
          <w:sz w:val="23"/>
          <w:szCs w:val="23"/>
        </w:rPr>
        <w:t xml:space="preserve">Mr Speaker, I have previously expressed the Government’s sincere sympathy and deep regret that this occurred, and I would like to restate that regret here and now. The Tasmanian Government recognises that members of the community are often in a very vulnerable and distressed state when they come into contact with the coronial system, which is why we are committed to ensuring the process and avenues of complaint and </w:t>
      </w:r>
      <w:r w:rsidRPr="004D3BF4">
        <w:rPr>
          <w:rFonts w:ascii="Cambria" w:hAnsi="Cambria"/>
          <w:i/>
          <w:iCs/>
          <w:sz w:val="23"/>
          <w:szCs w:val="23"/>
        </w:rPr>
        <w:lastRenderedPageBreak/>
        <w:t>review are well understood, so both the Court and individuals can be confident the right decisions are made using the information available.</w:t>
      </w:r>
    </w:p>
    <w:p w14:paraId="22EF41FE" w14:textId="77777777" w:rsidR="003A4507" w:rsidRPr="004D3BF4" w:rsidRDefault="003A4507" w:rsidP="003A4507">
      <w:pPr>
        <w:ind w:left="720"/>
        <w:jc w:val="both"/>
        <w:rPr>
          <w:rFonts w:ascii="Cambria" w:hAnsi="Cambria"/>
          <w:i/>
          <w:iCs/>
          <w:sz w:val="23"/>
          <w:szCs w:val="23"/>
        </w:rPr>
      </w:pPr>
    </w:p>
    <w:p w14:paraId="4FC360F9" w14:textId="77777777" w:rsidR="003A4507" w:rsidRPr="004D3BF4" w:rsidRDefault="003A4507" w:rsidP="003A4507">
      <w:pPr>
        <w:ind w:left="720"/>
        <w:jc w:val="both"/>
        <w:rPr>
          <w:rFonts w:ascii="Cambria" w:hAnsi="Cambria"/>
          <w:i/>
          <w:iCs/>
          <w:sz w:val="23"/>
          <w:szCs w:val="23"/>
        </w:rPr>
      </w:pPr>
      <w:r w:rsidRPr="004D3BF4">
        <w:rPr>
          <w:rFonts w:ascii="Cambria" w:hAnsi="Cambria"/>
          <w:i/>
          <w:iCs/>
          <w:sz w:val="23"/>
          <w:szCs w:val="23"/>
        </w:rPr>
        <w:t>The Coronial Division of the Magistrates Court started important work by producing</w:t>
      </w:r>
    </w:p>
    <w:p w14:paraId="156C1709" w14:textId="77777777" w:rsidR="003A4507" w:rsidRPr="004D3BF4" w:rsidRDefault="003A4507" w:rsidP="003A4507">
      <w:pPr>
        <w:ind w:left="720"/>
        <w:jc w:val="both"/>
        <w:rPr>
          <w:rFonts w:ascii="Cambria" w:hAnsi="Cambria"/>
          <w:i/>
          <w:iCs/>
          <w:sz w:val="23"/>
          <w:szCs w:val="23"/>
        </w:rPr>
      </w:pPr>
      <w:r w:rsidRPr="004D3BF4">
        <w:rPr>
          <w:rFonts w:ascii="Cambria" w:hAnsi="Cambria"/>
          <w:i/>
          <w:iCs/>
          <w:sz w:val="23"/>
          <w:szCs w:val="23"/>
        </w:rPr>
        <w:t xml:space="preserve">comprehensive supporting material for those interacting with this Court. In 2016 the Tasmanian Coronial Practice Handbook and The Coroner’s Court: A Guide for Families and Friends were developed. These resources can now be found on the Coronial Division’s </w:t>
      </w:r>
      <w:proofErr w:type="gramStart"/>
      <w:r w:rsidRPr="004D3BF4">
        <w:rPr>
          <w:rFonts w:ascii="Cambria" w:hAnsi="Cambria"/>
          <w:i/>
          <w:iCs/>
          <w:sz w:val="23"/>
          <w:szCs w:val="23"/>
        </w:rPr>
        <w:t>website, and</w:t>
      </w:r>
      <w:proofErr w:type="gramEnd"/>
      <w:r w:rsidRPr="004D3BF4">
        <w:rPr>
          <w:rFonts w:ascii="Cambria" w:hAnsi="Cambria"/>
          <w:i/>
          <w:iCs/>
          <w:sz w:val="23"/>
          <w:szCs w:val="23"/>
        </w:rPr>
        <w:t xml:space="preserve"> are intended to assist members of the community who </w:t>
      </w:r>
      <w:proofErr w:type="gramStart"/>
      <w:r w:rsidRPr="004D3BF4">
        <w:rPr>
          <w:rFonts w:ascii="Cambria" w:hAnsi="Cambria"/>
          <w:i/>
          <w:iCs/>
          <w:sz w:val="23"/>
          <w:szCs w:val="23"/>
        </w:rPr>
        <w:t>come into contact with</w:t>
      </w:r>
      <w:proofErr w:type="gramEnd"/>
      <w:r w:rsidRPr="004D3BF4">
        <w:rPr>
          <w:rFonts w:ascii="Cambria" w:hAnsi="Cambria"/>
          <w:i/>
          <w:iCs/>
          <w:sz w:val="23"/>
          <w:szCs w:val="23"/>
        </w:rPr>
        <w:t xml:space="preserve"> the coronial system.</w:t>
      </w:r>
    </w:p>
    <w:p w14:paraId="6EBC814B" w14:textId="77777777" w:rsidR="003A4507" w:rsidRPr="004D3BF4" w:rsidRDefault="003A4507" w:rsidP="003A4507">
      <w:pPr>
        <w:ind w:left="720"/>
        <w:jc w:val="both"/>
        <w:rPr>
          <w:rFonts w:ascii="Cambria" w:hAnsi="Cambria"/>
          <w:i/>
          <w:iCs/>
          <w:sz w:val="23"/>
          <w:szCs w:val="23"/>
        </w:rPr>
      </w:pPr>
    </w:p>
    <w:p w14:paraId="50B90FF5" w14:textId="77777777" w:rsidR="003A4507" w:rsidRPr="004D3BF4" w:rsidRDefault="003A4507" w:rsidP="003A4507">
      <w:pPr>
        <w:ind w:left="720"/>
        <w:jc w:val="both"/>
        <w:rPr>
          <w:rFonts w:ascii="Cambria" w:hAnsi="Cambria"/>
          <w:i/>
          <w:iCs/>
          <w:sz w:val="23"/>
          <w:szCs w:val="23"/>
        </w:rPr>
      </w:pPr>
      <w:r w:rsidRPr="004D3BF4">
        <w:rPr>
          <w:rFonts w:ascii="Cambria" w:hAnsi="Cambria"/>
          <w:i/>
          <w:iCs/>
          <w:sz w:val="23"/>
          <w:szCs w:val="23"/>
        </w:rPr>
        <w:t xml:space="preserve">The amendment to the Coroners Act continues this work by legislating a positive duty on the Court for the senior next of kin, along with others who have a ‘sufficient interest’ in the death, to be provided with prescribed categories of information about the operation of the Coroners Act. The Coroners Act has several key processes available to persons with a ‘sufficient interest’, and consideration of who has a sufficient interest is a routine and straightforward part of the Court’s everyday work. This term does not place a burden on the individual or the </w:t>
      </w:r>
      <w:proofErr w:type="gramStart"/>
      <w:r w:rsidRPr="004D3BF4">
        <w:rPr>
          <w:rFonts w:ascii="Cambria" w:hAnsi="Cambria"/>
          <w:i/>
          <w:iCs/>
          <w:sz w:val="23"/>
          <w:szCs w:val="23"/>
        </w:rPr>
        <w:t>Coroner, but</w:t>
      </w:r>
      <w:proofErr w:type="gramEnd"/>
      <w:r w:rsidRPr="004D3BF4">
        <w:rPr>
          <w:rFonts w:ascii="Cambria" w:hAnsi="Cambria"/>
          <w:i/>
          <w:iCs/>
          <w:sz w:val="23"/>
          <w:szCs w:val="23"/>
        </w:rPr>
        <w:t xml:space="preserve"> ensures the focus of the duty to provide information is to those people who need it, such as family members and partners – and not simply any member of the public.</w:t>
      </w:r>
    </w:p>
    <w:p w14:paraId="66A611A1" w14:textId="77777777" w:rsidR="003A4507" w:rsidRPr="004D3BF4" w:rsidRDefault="003A4507" w:rsidP="003A4507">
      <w:pPr>
        <w:ind w:left="720"/>
        <w:jc w:val="both"/>
        <w:rPr>
          <w:rFonts w:ascii="Cambria" w:hAnsi="Cambria"/>
          <w:i/>
          <w:iCs/>
          <w:sz w:val="23"/>
          <w:szCs w:val="23"/>
        </w:rPr>
      </w:pPr>
    </w:p>
    <w:p w14:paraId="344DB421" w14:textId="05675323" w:rsidR="003A4507" w:rsidRPr="004D3BF4" w:rsidRDefault="003A4507" w:rsidP="0042170D">
      <w:pPr>
        <w:ind w:left="720"/>
        <w:jc w:val="both"/>
        <w:rPr>
          <w:rFonts w:ascii="Cambria" w:hAnsi="Cambria"/>
          <w:i/>
          <w:iCs/>
          <w:sz w:val="23"/>
          <w:szCs w:val="23"/>
        </w:rPr>
      </w:pPr>
      <w:r w:rsidRPr="004D3BF4">
        <w:rPr>
          <w:rFonts w:ascii="Cambria" w:hAnsi="Cambria"/>
          <w:i/>
          <w:iCs/>
          <w:sz w:val="23"/>
          <w:szCs w:val="23"/>
        </w:rPr>
        <w:t>This amendment is modelled on a similar provision in the Victorian Coroners Act 2008.</w:t>
      </w:r>
      <w:r w:rsidR="0042170D" w:rsidRPr="004D3BF4">
        <w:rPr>
          <w:rFonts w:ascii="Cambria" w:hAnsi="Cambria"/>
          <w:i/>
          <w:iCs/>
          <w:sz w:val="23"/>
          <w:szCs w:val="23"/>
        </w:rPr>
        <w:t xml:space="preserve"> </w:t>
      </w:r>
      <w:r w:rsidRPr="004D3BF4">
        <w:rPr>
          <w:rFonts w:ascii="Cambria" w:hAnsi="Cambria"/>
          <w:i/>
          <w:iCs/>
          <w:sz w:val="23"/>
          <w:szCs w:val="23"/>
        </w:rPr>
        <w:t>Regulations will also be developed in consultation with stakeholders that specify the type of information that needs to be provided under this section. It is anticipated that this will include information relating to:</w:t>
      </w:r>
    </w:p>
    <w:p w14:paraId="240425F0" w14:textId="77777777" w:rsidR="003A4507" w:rsidRPr="004D3BF4" w:rsidRDefault="003A4507" w:rsidP="003A4507">
      <w:pPr>
        <w:ind w:left="1440"/>
        <w:jc w:val="both"/>
        <w:rPr>
          <w:rFonts w:ascii="Cambria" w:hAnsi="Cambria"/>
          <w:i/>
          <w:iCs/>
          <w:sz w:val="23"/>
          <w:szCs w:val="23"/>
        </w:rPr>
      </w:pPr>
      <w:r w:rsidRPr="004D3BF4">
        <w:rPr>
          <w:rFonts w:ascii="Cambria" w:hAnsi="Cambria"/>
          <w:i/>
          <w:iCs/>
          <w:sz w:val="23"/>
          <w:szCs w:val="23"/>
        </w:rPr>
        <w:t>• the rights that exist in the Coroners Act, for example, regarding the viewing of a deceased person or objections to autopsies; and</w:t>
      </w:r>
    </w:p>
    <w:p w14:paraId="4E303AC2" w14:textId="77777777" w:rsidR="003A4507" w:rsidRPr="004D3BF4" w:rsidRDefault="003A4507" w:rsidP="003A4507">
      <w:pPr>
        <w:ind w:left="1440"/>
        <w:jc w:val="both"/>
        <w:rPr>
          <w:rFonts w:ascii="Cambria" w:hAnsi="Cambria"/>
          <w:i/>
          <w:iCs/>
          <w:sz w:val="23"/>
          <w:szCs w:val="23"/>
        </w:rPr>
      </w:pPr>
      <w:r w:rsidRPr="004D3BF4">
        <w:rPr>
          <w:rFonts w:ascii="Cambria" w:hAnsi="Cambria"/>
          <w:i/>
          <w:iCs/>
          <w:sz w:val="23"/>
          <w:szCs w:val="23"/>
        </w:rPr>
        <w:t>• the meaning of senior next of kin, and what rights, including dispute resolution and appeal, flow on from that.</w:t>
      </w:r>
    </w:p>
    <w:p w14:paraId="2B4B04C3" w14:textId="77777777" w:rsidR="003A4507" w:rsidRPr="004D3BF4" w:rsidRDefault="003A4507" w:rsidP="003A4507">
      <w:pPr>
        <w:ind w:left="720"/>
        <w:jc w:val="both"/>
        <w:rPr>
          <w:rFonts w:ascii="Cambria" w:hAnsi="Cambria"/>
          <w:i/>
          <w:iCs/>
          <w:sz w:val="23"/>
          <w:szCs w:val="23"/>
        </w:rPr>
      </w:pPr>
    </w:p>
    <w:p w14:paraId="78026FF9" w14:textId="77777777" w:rsidR="003A4507" w:rsidRPr="004D3BF4" w:rsidRDefault="003A4507" w:rsidP="003A4507">
      <w:pPr>
        <w:ind w:left="720"/>
        <w:jc w:val="both"/>
        <w:rPr>
          <w:rFonts w:ascii="Cambria" w:hAnsi="Cambria"/>
          <w:i/>
          <w:iCs/>
          <w:sz w:val="23"/>
          <w:szCs w:val="23"/>
        </w:rPr>
      </w:pPr>
      <w:r w:rsidRPr="004D3BF4">
        <w:rPr>
          <w:rFonts w:ascii="Cambria" w:hAnsi="Cambria"/>
          <w:i/>
          <w:iCs/>
          <w:sz w:val="23"/>
          <w:szCs w:val="23"/>
        </w:rPr>
        <w:t>Mr Speaker, while the law is now clear, this positive duty supports and reinforces the Court’s commitment to providing plain English information on coronial processes to family and others involved. I expect the information will ensure there is now an explicit understanding that the current law provides that spouse includes a person in a significant relationship under the Relationships Act, whether registered under that Act or not. It could also provide information on what information the Court needs to resolve who is the spouse or next of kin where there is any dispute between family members.</w:t>
      </w:r>
    </w:p>
    <w:p w14:paraId="108E9A12" w14:textId="77777777" w:rsidR="003A4507" w:rsidRPr="004D3BF4" w:rsidRDefault="003A4507" w:rsidP="003A4507">
      <w:pPr>
        <w:jc w:val="both"/>
        <w:rPr>
          <w:rFonts w:ascii="Cambria" w:hAnsi="Cambria"/>
          <w:sz w:val="23"/>
          <w:szCs w:val="23"/>
        </w:rPr>
      </w:pPr>
    </w:p>
    <w:p w14:paraId="49B96CB2" w14:textId="77777777" w:rsidR="003A4507" w:rsidRPr="004D3BF4" w:rsidRDefault="003A4507" w:rsidP="003A4507">
      <w:pPr>
        <w:jc w:val="both"/>
        <w:rPr>
          <w:rFonts w:ascii="Cambria" w:hAnsi="Cambria"/>
          <w:sz w:val="23"/>
          <w:szCs w:val="23"/>
        </w:rPr>
      </w:pPr>
      <w:r w:rsidRPr="004D3BF4">
        <w:rPr>
          <w:rFonts w:ascii="Cambria" w:hAnsi="Cambria"/>
          <w:sz w:val="23"/>
          <w:szCs w:val="23"/>
        </w:rPr>
        <w:t>The Bill passed with section 3B of the Act now providing:</w:t>
      </w:r>
    </w:p>
    <w:p w14:paraId="698BBF6E" w14:textId="77777777" w:rsidR="003A4507" w:rsidRPr="004D3BF4" w:rsidRDefault="003A4507" w:rsidP="003A4507">
      <w:pPr>
        <w:rPr>
          <w:rFonts w:ascii="Cambria" w:hAnsi="Cambria"/>
          <w:sz w:val="23"/>
          <w:szCs w:val="23"/>
        </w:rPr>
      </w:pPr>
    </w:p>
    <w:p w14:paraId="313BC5D7" w14:textId="77777777" w:rsidR="003A4507" w:rsidRPr="004D3BF4" w:rsidRDefault="003A4507" w:rsidP="003A4507">
      <w:pPr>
        <w:pStyle w:val="NoSpacing"/>
        <w:ind w:left="720"/>
        <w:rPr>
          <w:rFonts w:ascii="Cambria" w:hAnsi="Cambria"/>
          <w:b/>
          <w:bCs/>
          <w:i/>
          <w:iCs/>
          <w:sz w:val="23"/>
          <w:szCs w:val="23"/>
        </w:rPr>
      </w:pPr>
      <w:r w:rsidRPr="004D3BF4">
        <w:rPr>
          <w:rFonts w:ascii="Cambria" w:hAnsi="Cambria"/>
          <w:b/>
          <w:bCs/>
          <w:i/>
          <w:iCs/>
          <w:sz w:val="23"/>
          <w:szCs w:val="23"/>
        </w:rPr>
        <w:t>3B. Determination of senior next of kin of deceased person</w:t>
      </w:r>
    </w:p>
    <w:p w14:paraId="5D218BA4" w14:textId="77777777" w:rsidR="003A4507" w:rsidRPr="004D3BF4" w:rsidRDefault="003A4507" w:rsidP="003A4507">
      <w:pPr>
        <w:pStyle w:val="NoSpacing"/>
        <w:ind w:left="720"/>
        <w:rPr>
          <w:rFonts w:ascii="Cambria" w:hAnsi="Cambria"/>
          <w:i/>
          <w:iCs/>
          <w:sz w:val="23"/>
          <w:szCs w:val="23"/>
        </w:rPr>
      </w:pPr>
      <w:bookmarkStart w:id="0" w:name="GS9@Je@GS3B@Gs1@EN"/>
      <w:bookmarkEnd w:id="0"/>
      <w:r w:rsidRPr="004D3BF4">
        <w:rPr>
          <w:rFonts w:ascii="Cambria" w:hAnsi="Cambria"/>
          <w:i/>
          <w:iCs/>
          <w:sz w:val="23"/>
          <w:szCs w:val="23"/>
        </w:rPr>
        <w:t>(1) If a person is aggrieved by a decision made under this Act specifying who is the senior next of kin of a deceased person for the purposes of this Act, the person may appeal the decision to the Supreme Court.</w:t>
      </w:r>
    </w:p>
    <w:p w14:paraId="6AF6F7CE" w14:textId="77777777" w:rsidR="003A4507" w:rsidRPr="004D3BF4" w:rsidRDefault="003A4507" w:rsidP="003A4507">
      <w:pPr>
        <w:pStyle w:val="NoSpacing"/>
        <w:ind w:left="720"/>
        <w:rPr>
          <w:rFonts w:ascii="Cambria" w:hAnsi="Cambria"/>
          <w:i/>
          <w:iCs/>
          <w:sz w:val="23"/>
          <w:szCs w:val="23"/>
        </w:rPr>
      </w:pPr>
      <w:bookmarkStart w:id="1" w:name="GS9@Je@GS3B@Gs2@EN"/>
      <w:bookmarkEnd w:id="1"/>
      <w:r w:rsidRPr="004D3BF4">
        <w:rPr>
          <w:rFonts w:ascii="Cambria" w:hAnsi="Cambria"/>
          <w:i/>
          <w:iCs/>
          <w:sz w:val="23"/>
          <w:szCs w:val="23"/>
        </w:rPr>
        <w:t>(2) On hearing an appeal under subsection (1), the Supreme Court may –</w:t>
      </w:r>
      <w:bookmarkStart w:id="2" w:name="GS9@Je@GS3B@Gs2@Hpa@EN"/>
      <w:bookmarkEnd w:id="2"/>
    </w:p>
    <w:p w14:paraId="1F8D82E3" w14:textId="77777777" w:rsidR="003A4507" w:rsidRPr="004D3BF4" w:rsidRDefault="003A4507" w:rsidP="003A4507">
      <w:pPr>
        <w:pStyle w:val="NoSpacing"/>
        <w:ind w:left="720" w:firstLine="720"/>
        <w:rPr>
          <w:rFonts w:ascii="Cambria" w:hAnsi="Cambria"/>
          <w:i/>
          <w:iCs/>
          <w:sz w:val="23"/>
          <w:szCs w:val="23"/>
        </w:rPr>
      </w:pPr>
      <w:r w:rsidRPr="004D3BF4">
        <w:rPr>
          <w:rFonts w:ascii="Cambria" w:hAnsi="Cambria"/>
          <w:i/>
          <w:iCs/>
          <w:sz w:val="23"/>
          <w:szCs w:val="23"/>
        </w:rPr>
        <w:t>(a) affirm the decision; or</w:t>
      </w:r>
    </w:p>
    <w:p w14:paraId="12E30B45" w14:textId="77777777" w:rsidR="003A4507" w:rsidRPr="004D3BF4" w:rsidRDefault="003A4507" w:rsidP="003A4507">
      <w:pPr>
        <w:pStyle w:val="NoSpacing"/>
        <w:ind w:left="1440"/>
        <w:rPr>
          <w:rFonts w:ascii="Cambria" w:hAnsi="Cambria"/>
          <w:i/>
          <w:iCs/>
          <w:sz w:val="23"/>
          <w:szCs w:val="23"/>
        </w:rPr>
      </w:pPr>
      <w:bookmarkStart w:id="3" w:name="GS9@Je@GS3B@Gs2@Hpb@EN"/>
      <w:bookmarkEnd w:id="3"/>
      <w:r w:rsidRPr="004D3BF4">
        <w:rPr>
          <w:rFonts w:ascii="Cambria" w:hAnsi="Cambria"/>
          <w:i/>
          <w:iCs/>
          <w:sz w:val="23"/>
          <w:szCs w:val="23"/>
        </w:rPr>
        <w:t>(b) quash the decision and make any further orders as the Supreme Court thinks fit in the circumstances.</w:t>
      </w:r>
    </w:p>
    <w:p w14:paraId="2B341083" w14:textId="77777777" w:rsidR="003A4507" w:rsidRPr="004D3BF4" w:rsidRDefault="003A4507" w:rsidP="003A4507">
      <w:pPr>
        <w:rPr>
          <w:rFonts w:ascii="Cambria" w:hAnsi="Cambria"/>
          <w:sz w:val="23"/>
          <w:szCs w:val="23"/>
        </w:rPr>
      </w:pPr>
    </w:p>
    <w:p w14:paraId="478C029D" w14:textId="2A98B2D3" w:rsidR="003A4507" w:rsidRPr="004D3BF4" w:rsidRDefault="003A4507" w:rsidP="001A2B7A">
      <w:pPr>
        <w:jc w:val="both"/>
        <w:rPr>
          <w:rFonts w:ascii="Cambria" w:hAnsi="Cambria"/>
          <w:sz w:val="23"/>
          <w:szCs w:val="23"/>
        </w:rPr>
      </w:pPr>
      <w:r w:rsidRPr="004D3BF4">
        <w:rPr>
          <w:rFonts w:ascii="Cambria" w:hAnsi="Cambria"/>
          <w:sz w:val="23"/>
          <w:szCs w:val="23"/>
        </w:rPr>
        <w:t>Tasmania is the only Australian jurisdiction where it is legislatively clear that parties aggrieved by a senior next of kin ruling have a right of appeal to the Supreme Court. We strongly support the amendment</w:t>
      </w:r>
      <w:r w:rsidR="001A2B7A" w:rsidRPr="004D3BF4">
        <w:rPr>
          <w:rFonts w:ascii="Cambria" w:hAnsi="Cambria"/>
          <w:sz w:val="23"/>
          <w:szCs w:val="23"/>
        </w:rPr>
        <w:t xml:space="preserve"> and believe that if the coroner is provided with discretion </w:t>
      </w:r>
      <w:r w:rsidR="001A2B7A" w:rsidRPr="004D3BF4">
        <w:rPr>
          <w:rFonts w:ascii="Cambria" w:hAnsi="Cambria"/>
          <w:sz w:val="23"/>
          <w:szCs w:val="23"/>
        </w:rPr>
        <w:lastRenderedPageBreak/>
        <w:t xml:space="preserve">to determine the appropriate senior next of kin, aggrieved parties will be </w:t>
      </w:r>
      <w:r w:rsidR="004D3BF4" w:rsidRPr="004D3BF4">
        <w:rPr>
          <w:rFonts w:ascii="Cambria" w:hAnsi="Cambria"/>
          <w:sz w:val="23"/>
          <w:szCs w:val="23"/>
        </w:rPr>
        <w:t>aware</w:t>
      </w:r>
      <w:r w:rsidR="001A2B7A" w:rsidRPr="004D3BF4">
        <w:rPr>
          <w:rFonts w:ascii="Cambria" w:hAnsi="Cambria"/>
          <w:sz w:val="23"/>
          <w:szCs w:val="23"/>
        </w:rPr>
        <w:t xml:space="preserve"> that they can appeal the decision. </w:t>
      </w:r>
    </w:p>
    <w:p w14:paraId="44BD4E33" w14:textId="77777777" w:rsidR="003D3A55" w:rsidRPr="004D3BF4" w:rsidRDefault="003D3A55" w:rsidP="003D3A55">
      <w:pPr>
        <w:pStyle w:val="NoSpacing"/>
        <w:jc w:val="both"/>
        <w:rPr>
          <w:rFonts w:ascii="Cambria" w:hAnsi="Cambria" w:cs="Arial"/>
          <w:color w:val="000000" w:themeColor="text1"/>
          <w:sz w:val="23"/>
          <w:szCs w:val="23"/>
        </w:rPr>
      </w:pPr>
    </w:p>
    <w:p w14:paraId="39CA5082" w14:textId="36795580" w:rsidR="00B6105F" w:rsidRPr="004D3BF4" w:rsidRDefault="00B6105F" w:rsidP="00F607A6">
      <w:pPr>
        <w:jc w:val="both"/>
        <w:rPr>
          <w:rFonts w:ascii="Cambria" w:hAnsi="Cambria"/>
          <w:b/>
          <w:bCs/>
          <w:color w:val="000000" w:themeColor="text1"/>
          <w:sz w:val="23"/>
          <w:szCs w:val="23"/>
        </w:rPr>
      </w:pPr>
      <w:r w:rsidRPr="004D3BF4">
        <w:rPr>
          <w:rFonts w:ascii="Cambria" w:hAnsi="Cambria"/>
          <w:b/>
          <w:bCs/>
          <w:color w:val="000000" w:themeColor="text1"/>
          <w:sz w:val="23"/>
          <w:szCs w:val="23"/>
        </w:rPr>
        <w:t>Coronial recommendations</w:t>
      </w:r>
    </w:p>
    <w:p w14:paraId="50C7A5AA" w14:textId="74C444FE" w:rsidR="00F61DBF" w:rsidRPr="004D3BF4" w:rsidRDefault="005427B9" w:rsidP="00F61DBF">
      <w:pPr>
        <w:jc w:val="both"/>
        <w:rPr>
          <w:rFonts w:ascii="Cambria" w:hAnsi="Cambria"/>
          <w:color w:val="000000" w:themeColor="text1"/>
          <w:sz w:val="23"/>
          <w:szCs w:val="23"/>
        </w:rPr>
      </w:pPr>
      <w:r w:rsidRPr="004D3BF4">
        <w:rPr>
          <w:rFonts w:ascii="Cambria" w:hAnsi="Cambria"/>
          <w:color w:val="000000" w:themeColor="text1"/>
          <w:sz w:val="23"/>
          <w:szCs w:val="23"/>
        </w:rPr>
        <w:t>The Coroner has the ability to enhance public health</w:t>
      </w:r>
      <w:r w:rsidR="00F607A6" w:rsidRPr="004D3BF4">
        <w:rPr>
          <w:rFonts w:ascii="Cambria" w:hAnsi="Cambria"/>
          <w:color w:val="000000" w:themeColor="text1"/>
          <w:sz w:val="23"/>
          <w:szCs w:val="23"/>
        </w:rPr>
        <w:t xml:space="preserve"> or</w:t>
      </w:r>
      <w:r w:rsidRPr="004D3BF4">
        <w:rPr>
          <w:rFonts w:ascii="Cambria" w:hAnsi="Cambria"/>
          <w:color w:val="000000" w:themeColor="text1"/>
          <w:sz w:val="23"/>
          <w:szCs w:val="23"/>
        </w:rPr>
        <w:t xml:space="preserve"> safety with section 28 of the Act providing</w:t>
      </w:r>
      <w:r w:rsidR="00F607A6" w:rsidRPr="004D3BF4">
        <w:rPr>
          <w:rFonts w:ascii="Cambria" w:hAnsi="Cambria"/>
          <w:color w:val="000000" w:themeColor="text1"/>
          <w:sz w:val="23"/>
          <w:szCs w:val="23"/>
        </w:rPr>
        <w:t xml:space="preserve"> that as part of an investigation into a death the coroner can make recommendations</w:t>
      </w:r>
      <w:r w:rsidR="00F607A6" w:rsidRPr="004D3BF4">
        <w:rPr>
          <w:rStyle w:val="FootnoteReference"/>
          <w:rFonts w:ascii="Cambria" w:hAnsi="Cambria"/>
          <w:color w:val="000000" w:themeColor="text1"/>
          <w:sz w:val="23"/>
          <w:szCs w:val="23"/>
        </w:rPr>
        <w:footnoteReference w:id="18"/>
      </w:r>
      <w:r w:rsidR="00F607A6" w:rsidRPr="004D3BF4">
        <w:rPr>
          <w:rFonts w:ascii="Cambria" w:hAnsi="Cambria"/>
          <w:color w:val="000000" w:themeColor="text1"/>
          <w:sz w:val="23"/>
          <w:szCs w:val="23"/>
        </w:rPr>
        <w:t xml:space="preserve"> and report those recommendations to the Attorney-General.</w:t>
      </w:r>
      <w:r w:rsidR="00F607A6" w:rsidRPr="004D3BF4">
        <w:rPr>
          <w:rStyle w:val="FootnoteReference"/>
          <w:rFonts w:ascii="Cambria" w:hAnsi="Cambria"/>
          <w:color w:val="000000" w:themeColor="text1"/>
          <w:sz w:val="23"/>
          <w:szCs w:val="23"/>
        </w:rPr>
        <w:footnoteReference w:id="19"/>
      </w:r>
      <w:r w:rsidR="00F607A6" w:rsidRPr="004D3BF4">
        <w:rPr>
          <w:rFonts w:ascii="Cambria" w:hAnsi="Cambria"/>
          <w:color w:val="000000" w:themeColor="text1"/>
          <w:sz w:val="23"/>
          <w:szCs w:val="23"/>
        </w:rPr>
        <w:t xml:space="preserve"> </w:t>
      </w:r>
      <w:r w:rsidR="00F61DBF" w:rsidRPr="004D3BF4">
        <w:rPr>
          <w:rFonts w:ascii="Cambria" w:hAnsi="Cambria"/>
          <w:color w:val="000000" w:themeColor="text1"/>
          <w:sz w:val="23"/>
          <w:szCs w:val="23"/>
        </w:rPr>
        <w:t xml:space="preserve">However, there is no </w:t>
      </w:r>
      <w:r w:rsidR="00DD38AA" w:rsidRPr="004D3BF4">
        <w:rPr>
          <w:rFonts w:ascii="Cambria" w:hAnsi="Cambria"/>
          <w:color w:val="000000" w:themeColor="text1"/>
          <w:sz w:val="23"/>
          <w:szCs w:val="23"/>
        </w:rPr>
        <w:t xml:space="preserve">express recognition of the important role the coroner does play in precenting death and serious injury and no </w:t>
      </w:r>
      <w:r w:rsidR="00F61DBF" w:rsidRPr="004D3BF4">
        <w:rPr>
          <w:rFonts w:ascii="Cambria" w:hAnsi="Cambria"/>
          <w:color w:val="000000" w:themeColor="text1"/>
          <w:sz w:val="23"/>
          <w:szCs w:val="23"/>
        </w:rPr>
        <w:t>legislative requirement for a response to be provided</w:t>
      </w:r>
      <w:r w:rsidR="004D3BF4" w:rsidRPr="004D3BF4">
        <w:rPr>
          <w:rFonts w:ascii="Cambria" w:hAnsi="Cambria"/>
          <w:color w:val="000000" w:themeColor="text1"/>
          <w:sz w:val="23"/>
          <w:szCs w:val="23"/>
        </w:rPr>
        <w:t xml:space="preserve"> to coronial recommendations</w:t>
      </w:r>
      <w:r w:rsidR="00F61DBF" w:rsidRPr="004D3BF4">
        <w:rPr>
          <w:rFonts w:ascii="Cambria" w:hAnsi="Cambria"/>
          <w:color w:val="000000" w:themeColor="text1"/>
          <w:sz w:val="23"/>
          <w:szCs w:val="23"/>
        </w:rPr>
        <w:t>. Instead, the coroner relies on “the good will and energy of individual government entities and private organisations to take on coronial recommendations and implement them...”</w:t>
      </w:r>
      <w:r w:rsidR="00F61DBF" w:rsidRPr="004D3BF4">
        <w:rPr>
          <w:rStyle w:val="FootnoteReference"/>
          <w:rFonts w:ascii="Cambria" w:hAnsi="Cambria"/>
          <w:color w:val="000000" w:themeColor="text1"/>
          <w:sz w:val="23"/>
          <w:szCs w:val="23"/>
        </w:rPr>
        <w:footnoteReference w:id="20"/>
      </w:r>
      <w:r w:rsidR="00F61DBF" w:rsidRPr="004D3BF4">
        <w:rPr>
          <w:rFonts w:ascii="Cambria" w:hAnsi="Cambria"/>
          <w:color w:val="000000" w:themeColor="text1"/>
          <w:sz w:val="23"/>
          <w:szCs w:val="23"/>
        </w:rPr>
        <w:t xml:space="preserve"> </w:t>
      </w:r>
    </w:p>
    <w:p w14:paraId="43D4E93E" w14:textId="77777777" w:rsidR="00F61DBF" w:rsidRPr="004D3BF4" w:rsidRDefault="00F61DBF" w:rsidP="00F61DBF">
      <w:pPr>
        <w:jc w:val="both"/>
        <w:rPr>
          <w:rFonts w:ascii="Cambria" w:hAnsi="Cambria"/>
          <w:color w:val="000000" w:themeColor="text1"/>
          <w:sz w:val="23"/>
          <w:szCs w:val="23"/>
        </w:rPr>
      </w:pPr>
    </w:p>
    <w:p w14:paraId="3A5A3BC8" w14:textId="6D22E673" w:rsidR="00FE3D72" w:rsidRPr="004D3BF4" w:rsidRDefault="00F61DBF" w:rsidP="00F607A6">
      <w:pPr>
        <w:jc w:val="both"/>
        <w:rPr>
          <w:rFonts w:ascii="Cambria" w:hAnsi="Cambria"/>
          <w:color w:val="000000" w:themeColor="text1"/>
          <w:sz w:val="23"/>
          <w:szCs w:val="23"/>
        </w:rPr>
      </w:pPr>
      <w:r w:rsidRPr="004D3BF4">
        <w:rPr>
          <w:rFonts w:ascii="Cambria" w:hAnsi="Cambria"/>
          <w:color w:val="000000" w:themeColor="text1"/>
          <w:sz w:val="23"/>
          <w:szCs w:val="23"/>
        </w:rPr>
        <w:t>We strongly recommend the inclusion in the Act o</w:t>
      </w:r>
      <w:r w:rsidR="00002FFE" w:rsidRPr="004D3BF4">
        <w:rPr>
          <w:rFonts w:ascii="Cambria" w:hAnsi="Cambria"/>
          <w:color w:val="000000" w:themeColor="text1"/>
          <w:sz w:val="23"/>
          <w:szCs w:val="23"/>
        </w:rPr>
        <w:t>f</w:t>
      </w:r>
      <w:r w:rsidRPr="004D3BF4">
        <w:rPr>
          <w:rFonts w:ascii="Cambria" w:hAnsi="Cambria"/>
          <w:color w:val="000000" w:themeColor="text1"/>
          <w:sz w:val="23"/>
          <w:szCs w:val="23"/>
        </w:rPr>
        <w:t xml:space="preserve"> </w:t>
      </w:r>
      <w:r w:rsidR="00FE3D72" w:rsidRPr="004D3BF4">
        <w:rPr>
          <w:rFonts w:ascii="Cambria" w:hAnsi="Cambria"/>
          <w:color w:val="000000" w:themeColor="text1"/>
          <w:sz w:val="23"/>
          <w:szCs w:val="23"/>
        </w:rPr>
        <w:t xml:space="preserve">a </w:t>
      </w:r>
      <w:r w:rsidRPr="004D3BF4">
        <w:rPr>
          <w:rFonts w:ascii="Cambria" w:hAnsi="Cambria"/>
          <w:color w:val="000000" w:themeColor="text1"/>
          <w:sz w:val="23"/>
          <w:szCs w:val="23"/>
        </w:rPr>
        <w:t xml:space="preserve">statutory provision </w:t>
      </w:r>
      <w:r w:rsidR="00002FFE" w:rsidRPr="004D3BF4">
        <w:rPr>
          <w:rFonts w:ascii="Cambria" w:hAnsi="Cambria"/>
          <w:color w:val="000000" w:themeColor="text1"/>
          <w:sz w:val="23"/>
          <w:szCs w:val="23"/>
        </w:rPr>
        <w:t xml:space="preserve">recognising death </w:t>
      </w:r>
      <w:r w:rsidR="00DD38AA" w:rsidRPr="004D3BF4">
        <w:rPr>
          <w:rFonts w:ascii="Cambria" w:hAnsi="Cambria"/>
          <w:color w:val="000000" w:themeColor="text1"/>
          <w:sz w:val="23"/>
          <w:szCs w:val="23"/>
        </w:rPr>
        <w:t xml:space="preserve">and serious injury </w:t>
      </w:r>
      <w:r w:rsidR="00002FFE" w:rsidRPr="004D3BF4">
        <w:rPr>
          <w:rFonts w:ascii="Cambria" w:hAnsi="Cambria"/>
          <w:color w:val="000000" w:themeColor="text1"/>
          <w:sz w:val="23"/>
          <w:szCs w:val="23"/>
        </w:rPr>
        <w:t>prevention as a statutory purpose of the coronial process</w:t>
      </w:r>
      <w:r w:rsidR="00FE3D72" w:rsidRPr="004D3BF4">
        <w:rPr>
          <w:rFonts w:ascii="Cambria" w:hAnsi="Cambria"/>
          <w:color w:val="000000" w:themeColor="text1"/>
          <w:sz w:val="23"/>
          <w:szCs w:val="23"/>
        </w:rPr>
        <w:t xml:space="preserve">. Rather than being seen as an </w:t>
      </w:r>
      <w:r w:rsidR="00FE3D72" w:rsidRPr="004D3BF4">
        <w:rPr>
          <w:rFonts w:ascii="Cambria" w:hAnsi="Cambria"/>
          <w:color w:val="000000" w:themeColor="text1"/>
          <w:sz w:val="23"/>
          <w:szCs w:val="23"/>
        </w:rPr>
        <w:t>“incidental by-product of coronial work</w:t>
      </w:r>
      <w:r w:rsidR="00FE3D72" w:rsidRPr="004D3BF4">
        <w:rPr>
          <w:rFonts w:ascii="Cambria" w:hAnsi="Cambria"/>
          <w:color w:val="000000" w:themeColor="text1"/>
          <w:sz w:val="23"/>
          <w:szCs w:val="23"/>
        </w:rPr>
        <w:t>”,</w:t>
      </w:r>
      <w:r w:rsidR="00FE3D72" w:rsidRPr="004D3BF4">
        <w:rPr>
          <w:rStyle w:val="FootnoteReference"/>
          <w:rFonts w:ascii="Cambria" w:hAnsi="Cambria"/>
          <w:color w:val="000000" w:themeColor="text1"/>
          <w:sz w:val="23"/>
          <w:szCs w:val="23"/>
        </w:rPr>
        <w:footnoteReference w:id="21"/>
      </w:r>
      <w:r w:rsidR="00FE3D72" w:rsidRPr="004D3BF4">
        <w:rPr>
          <w:rFonts w:ascii="Cambria" w:hAnsi="Cambria"/>
          <w:color w:val="000000" w:themeColor="text1"/>
          <w:sz w:val="23"/>
          <w:szCs w:val="23"/>
        </w:rPr>
        <w:t xml:space="preserve"> the ability of the coroner to make recommendations </w:t>
      </w:r>
      <w:r w:rsidR="00DD38AA" w:rsidRPr="004D3BF4">
        <w:rPr>
          <w:rFonts w:ascii="Cambria" w:hAnsi="Cambria"/>
          <w:color w:val="000000" w:themeColor="text1"/>
          <w:sz w:val="23"/>
          <w:szCs w:val="23"/>
        </w:rPr>
        <w:t xml:space="preserve">that prevent death and serious injury </w:t>
      </w:r>
      <w:r w:rsidR="00FE3D72" w:rsidRPr="004D3BF4">
        <w:rPr>
          <w:rFonts w:ascii="Cambria" w:hAnsi="Cambria"/>
          <w:color w:val="000000" w:themeColor="text1"/>
          <w:sz w:val="23"/>
          <w:szCs w:val="23"/>
        </w:rPr>
        <w:t xml:space="preserve">should be encouraged through its express inclusion in a purpose/objects/functions section of the Act.  </w:t>
      </w:r>
    </w:p>
    <w:p w14:paraId="470B04C7" w14:textId="77777777" w:rsidR="00FE3D72" w:rsidRPr="004D3BF4" w:rsidRDefault="00FE3D72" w:rsidP="00F607A6">
      <w:pPr>
        <w:jc w:val="both"/>
        <w:rPr>
          <w:rFonts w:ascii="Cambria" w:hAnsi="Cambria"/>
          <w:color w:val="000000" w:themeColor="text1"/>
          <w:sz w:val="23"/>
          <w:szCs w:val="23"/>
        </w:rPr>
      </w:pPr>
    </w:p>
    <w:p w14:paraId="60204701" w14:textId="35F82922" w:rsidR="00F61DBF" w:rsidRPr="004D3BF4" w:rsidRDefault="00FE3D72" w:rsidP="00F607A6">
      <w:pPr>
        <w:jc w:val="both"/>
        <w:rPr>
          <w:rFonts w:ascii="Cambria" w:hAnsi="Cambria"/>
          <w:color w:val="000000" w:themeColor="text1"/>
          <w:sz w:val="23"/>
          <w:szCs w:val="23"/>
        </w:rPr>
      </w:pPr>
      <w:r w:rsidRPr="004D3BF4">
        <w:rPr>
          <w:rFonts w:ascii="Cambria" w:hAnsi="Cambria"/>
          <w:color w:val="000000" w:themeColor="text1"/>
          <w:sz w:val="23"/>
          <w:szCs w:val="23"/>
        </w:rPr>
        <w:t xml:space="preserve">We also strongly recommend </w:t>
      </w:r>
      <w:r w:rsidR="00DD38AA" w:rsidRPr="004D3BF4">
        <w:rPr>
          <w:rFonts w:ascii="Cambria" w:hAnsi="Cambria"/>
          <w:color w:val="000000" w:themeColor="text1"/>
          <w:sz w:val="23"/>
          <w:szCs w:val="23"/>
        </w:rPr>
        <w:t>that</w:t>
      </w:r>
      <w:r w:rsidRPr="004D3BF4">
        <w:rPr>
          <w:rFonts w:ascii="Cambria" w:hAnsi="Cambria"/>
          <w:color w:val="000000" w:themeColor="text1"/>
          <w:sz w:val="23"/>
          <w:szCs w:val="23"/>
        </w:rPr>
        <w:t xml:space="preserve"> a formal response</w:t>
      </w:r>
      <w:r w:rsidR="00DD38AA" w:rsidRPr="004D3BF4">
        <w:rPr>
          <w:rFonts w:ascii="Cambria" w:hAnsi="Cambria"/>
          <w:color w:val="000000" w:themeColor="text1"/>
          <w:sz w:val="23"/>
          <w:szCs w:val="23"/>
        </w:rPr>
        <w:t xml:space="preserve"> be provided by parties to whom recommendations are directed</w:t>
      </w:r>
      <w:r w:rsidRPr="004D3BF4">
        <w:rPr>
          <w:rFonts w:ascii="Cambria" w:hAnsi="Cambria"/>
          <w:color w:val="000000" w:themeColor="text1"/>
          <w:sz w:val="23"/>
          <w:szCs w:val="23"/>
        </w:rPr>
        <w:t>.</w:t>
      </w:r>
      <w:r w:rsidR="00DD38AA" w:rsidRPr="004D3BF4">
        <w:rPr>
          <w:rFonts w:ascii="Cambria" w:hAnsi="Cambria"/>
          <w:color w:val="000000" w:themeColor="text1"/>
          <w:sz w:val="23"/>
          <w:szCs w:val="23"/>
        </w:rPr>
        <w:t xml:space="preserve"> </w:t>
      </w:r>
      <w:r w:rsidR="002303D3" w:rsidRPr="004D3BF4">
        <w:rPr>
          <w:rFonts w:ascii="Cambria" w:hAnsi="Cambria"/>
          <w:color w:val="000000" w:themeColor="text1"/>
          <w:sz w:val="23"/>
          <w:szCs w:val="23"/>
        </w:rPr>
        <w:t xml:space="preserve">We do not believe that the response should be restricted to government </w:t>
      </w:r>
      <w:r w:rsidR="00002FFE" w:rsidRPr="004D3BF4">
        <w:rPr>
          <w:rFonts w:ascii="Cambria" w:hAnsi="Cambria"/>
          <w:color w:val="000000" w:themeColor="text1"/>
          <w:sz w:val="23"/>
          <w:szCs w:val="23"/>
        </w:rPr>
        <w:t xml:space="preserve">agencies but should be broader, extending to entities that have functions of a public nature and are exercising those functions on behalf of the State or a public authority. </w:t>
      </w:r>
      <w:r w:rsidR="00F61DBF" w:rsidRPr="004D3BF4">
        <w:rPr>
          <w:rFonts w:ascii="Cambria" w:hAnsi="Cambria"/>
          <w:color w:val="000000" w:themeColor="text1"/>
          <w:sz w:val="23"/>
          <w:szCs w:val="23"/>
        </w:rPr>
        <w:t>An additional benefit is that a response</w:t>
      </w:r>
      <w:r w:rsidR="00002FFE" w:rsidRPr="004D3BF4">
        <w:rPr>
          <w:rFonts w:ascii="Cambria" w:hAnsi="Cambria"/>
          <w:color w:val="000000" w:themeColor="text1"/>
          <w:sz w:val="23"/>
          <w:szCs w:val="23"/>
        </w:rPr>
        <w:t xml:space="preserve"> </w:t>
      </w:r>
      <w:r w:rsidR="00F61DBF" w:rsidRPr="004D3BF4">
        <w:rPr>
          <w:rFonts w:ascii="Cambria" w:hAnsi="Cambria"/>
          <w:color w:val="000000" w:themeColor="text1"/>
          <w:sz w:val="23"/>
          <w:szCs w:val="23"/>
        </w:rPr>
        <w:t>also has</w:t>
      </w:r>
      <w:r w:rsidR="00303FDC" w:rsidRPr="004D3BF4">
        <w:rPr>
          <w:rFonts w:ascii="Cambria" w:hAnsi="Cambria"/>
          <w:color w:val="000000" w:themeColor="text1"/>
          <w:sz w:val="23"/>
          <w:szCs w:val="23"/>
        </w:rPr>
        <w:t xml:space="preserve"> therapeutic benefits for friends and family of the deceased to know that</w:t>
      </w:r>
      <w:r w:rsidR="00F61DBF" w:rsidRPr="004D3BF4">
        <w:rPr>
          <w:rFonts w:ascii="Cambria" w:hAnsi="Cambria"/>
          <w:color w:val="000000" w:themeColor="text1"/>
          <w:sz w:val="23"/>
          <w:szCs w:val="23"/>
        </w:rPr>
        <w:t xml:space="preserve"> recommendations </w:t>
      </w:r>
      <w:r w:rsidR="00002FFE" w:rsidRPr="004D3BF4">
        <w:rPr>
          <w:rFonts w:ascii="Cambria" w:hAnsi="Cambria"/>
          <w:color w:val="000000" w:themeColor="text1"/>
          <w:sz w:val="23"/>
          <w:szCs w:val="23"/>
        </w:rPr>
        <w:t>have been</w:t>
      </w:r>
      <w:r w:rsidR="00F61DBF" w:rsidRPr="004D3BF4">
        <w:rPr>
          <w:rFonts w:ascii="Cambria" w:hAnsi="Cambria"/>
          <w:color w:val="000000" w:themeColor="text1"/>
          <w:sz w:val="23"/>
          <w:szCs w:val="23"/>
        </w:rPr>
        <w:t xml:space="preserve"> made and</w:t>
      </w:r>
      <w:r w:rsidR="00002FFE" w:rsidRPr="004D3BF4">
        <w:rPr>
          <w:rFonts w:ascii="Cambria" w:hAnsi="Cambria"/>
          <w:color w:val="000000" w:themeColor="text1"/>
          <w:sz w:val="23"/>
          <w:szCs w:val="23"/>
        </w:rPr>
        <w:t xml:space="preserve"> preventative measure will be strengthened. </w:t>
      </w:r>
    </w:p>
    <w:p w14:paraId="34C68CA9" w14:textId="77777777" w:rsidR="00CD1AA7" w:rsidRPr="004D3BF4" w:rsidRDefault="00CD1AA7" w:rsidP="003D3A55">
      <w:pPr>
        <w:ind w:right="-347"/>
        <w:jc w:val="both"/>
        <w:rPr>
          <w:rFonts w:ascii="Cambria" w:hAnsi="Cambria"/>
          <w:color w:val="000000" w:themeColor="text1"/>
          <w:sz w:val="23"/>
          <w:szCs w:val="23"/>
        </w:rPr>
      </w:pPr>
    </w:p>
    <w:p w14:paraId="51CC04C7" w14:textId="77777777" w:rsidR="0068517A" w:rsidRPr="004D3BF4" w:rsidRDefault="0068517A" w:rsidP="003D3A55">
      <w:pPr>
        <w:ind w:right="-347"/>
        <w:jc w:val="both"/>
        <w:rPr>
          <w:rFonts w:ascii="Cambria" w:hAnsi="Cambria"/>
          <w:iCs/>
          <w:color w:val="000000" w:themeColor="text1"/>
          <w:sz w:val="23"/>
          <w:szCs w:val="23"/>
        </w:rPr>
      </w:pPr>
    </w:p>
    <w:p w14:paraId="53905838" w14:textId="4DC25F15" w:rsidR="003D3A55" w:rsidRPr="004D3BF4" w:rsidRDefault="003D3A55" w:rsidP="003D3A55">
      <w:pPr>
        <w:ind w:right="-347"/>
        <w:jc w:val="both"/>
        <w:rPr>
          <w:rFonts w:ascii="Cambria" w:hAnsi="Cambria"/>
          <w:iCs/>
          <w:color w:val="000000" w:themeColor="text1"/>
          <w:sz w:val="23"/>
          <w:szCs w:val="23"/>
        </w:rPr>
      </w:pPr>
      <w:r w:rsidRPr="004D3BF4">
        <w:rPr>
          <w:rFonts w:ascii="Cambria" w:hAnsi="Cambria"/>
          <w:iCs/>
          <w:color w:val="000000" w:themeColor="text1"/>
          <w:sz w:val="23"/>
          <w:szCs w:val="23"/>
        </w:rPr>
        <w:t xml:space="preserve">If you have any queries, please do not hesitate to contact us. </w:t>
      </w:r>
      <w:bookmarkStart w:id="4" w:name="sec.139"/>
      <w:bookmarkEnd w:id="4"/>
    </w:p>
    <w:p w14:paraId="63954A69" w14:textId="77777777" w:rsidR="003D3A55" w:rsidRPr="004D3BF4" w:rsidRDefault="003D3A55" w:rsidP="003D3A55">
      <w:pPr>
        <w:ind w:right="-347"/>
        <w:jc w:val="both"/>
        <w:rPr>
          <w:rFonts w:ascii="Cambria" w:hAnsi="Cambria"/>
          <w:iCs/>
          <w:color w:val="000000" w:themeColor="text1"/>
          <w:sz w:val="23"/>
          <w:szCs w:val="23"/>
        </w:rPr>
      </w:pPr>
    </w:p>
    <w:p w14:paraId="715497D3" w14:textId="77777777" w:rsidR="003D3A55" w:rsidRPr="004D3BF4" w:rsidRDefault="003D3A55" w:rsidP="003D3A55">
      <w:pPr>
        <w:ind w:right="-347"/>
        <w:jc w:val="both"/>
        <w:rPr>
          <w:rFonts w:ascii="Cambria" w:hAnsi="Cambria"/>
          <w:iCs/>
          <w:color w:val="000000" w:themeColor="text1"/>
          <w:sz w:val="23"/>
          <w:szCs w:val="23"/>
        </w:rPr>
      </w:pPr>
    </w:p>
    <w:p w14:paraId="31A59957" w14:textId="2834ECBA" w:rsidR="003D3A55" w:rsidRPr="004D3BF4" w:rsidRDefault="003D3A55" w:rsidP="003D3A55">
      <w:pPr>
        <w:ind w:right="-347"/>
        <w:jc w:val="both"/>
        <w:rPr>
          <w:rFonts w:ascii="Cambria" w:hAnsi="Cambria"/>
          <w:iCs/>
          <w:color w:val="000000" w:themeColor="text1"/>
          <w:sz w:val="23"/>
          <w:szCs w:val="23"/>
        </w:rPr>
      </w:pPr>
      <w:r w:rsidRPr="004D3BF4">
        <w:rPr>
          <w:rFonts w:ascii="Cambria" w:hAnsi="Cambria"/>
          <w:iCs/>
          <w:color w:val="000000" w:themeColor="text1"/>
          <w:sz w:val="23"/>
          <w:szCs w:val="23"/>
        </w:rPr>
        <w:t>Yours faithfully,</w:t>
      </w:r>
      <w:r w:rsidRPr="004D3BF4">
        <w:rPr>
          <w:rFonts w:ascii="Cambria" w:hAnsi="Cambria"/>
          <w:iCs/>
          <w:color w:val="000000" w:themeColor="text1"/>
          <w:sz w:val="23"/>
          <w:szCs w:val="23"/>
        </w:rPr>
        <w:tab/>
      </w:r>
      <w:r w:rsidRPr="004D3BF4">
        <w:rPr>
          <w:rFonts w:ascii="Cambria" w:hAnsi="Cambria"/>
          <w:iCs/>
          <w:color w:val="000000" w:themeColor="text1"/>
          <w:sz w:val="23"/>
          <w:szCs w:val="23"/>
        </w:rPr>
        <w:tab/>
      </w:r>
      <w:r w:rsidRPr="004D3BF4">
        <w:rPr>
          <w:rFonts w:ascii="Cambria" w:hAnsi="Cambria"/>
          <w:iCs/>
          <w:color w:val="000000" w:themeColor="text1"/>
          <w:sz w:val="23"/>
          <w:szCs w:val="23"/>
        </w:rPr>
        <w:tab/>
      </w:r>
      <w:r w:rsidRPr="004D3BF4">
        <w:rPr>
          <w:rFonts w:ascii="Cambria" w:hAnsi="Cambria"/>
          <w:iCs/>
          <w:color w:val="000000" w:themeColor="text1"/>
          <w:sz w:val="23"/>
          <w:szCs w:val="23"/>
        </w:rPr>
        <w:tab/>
      </w:r>
      <w:r w:rsidRPr="004D3BF4">
        <w:rPr>
          <w:rFonts w:ascii="Cambria" w:hAnsi="Cambria"/>
          <w:iCs/>
          <w:color w:val="000000" w:themeColor="text1"/>
          <w:sz w:val="23"/>
          <w:szCs w:val="23"/>
        </w:rPr>
        <w:tab/>
      </w:r>
    </w:p>
    <w:p w14:paraId="273A38EB" w14:textId="235813D9" w:rsidR="004D3BF4" w:rsidRDefault="004D3BF4" w:rsidP="003D3A55">
      <w:pPr>
        <w:ind w:right="-347"/>
        <w:jc w:val="both"/>
        <w:rPr>
          <w:rFonts w:ascii="Cambria" w:hAnsi="Cambria"/>
          <w:iCs/>
          <w:color w:val="000000" w:themeColor="text1"/>
          <w:sz w:val="23"/>
          <w:szCs w:val="23"/>
        </w:rPr>
      </w:pPr>
    </w:p>
    <w:p w14:paraId="5C099FA3" w14:textId="77777777" w:rsidR="00055B24" w:rsidRDefault="00055B24" w:rsidP="003D3A55">
      <w:pPr>
        <w:ind w:right="-347"/>
        <w:jc w:val="both"/>
        <w:rPr>
          <w:rFonts w:ascii="Cambria" w:hAnsi="Cambria"/>
          <w:iCs/>
          <w:color w:val="000000" w:themeColor="text1"/>
          <w:sz w:val="23"/>
          <w:szCs w:val="23"/>
        </w:rPr>
      </w:pPr>
    </w:p>
    <w:p w14:paraId="2F5C9D26" w14:textId="581E8DFE" w:rsidR="003D3A55" w:rsidRPr="004D3BF4" w:rsidRDefault="003D3A55" w:rsidP="003D3A55">
      <w:pPr>
        <w:ind w:right="-347"/>
        <w:jc w:val="both"/>
        <w:rPr>
          <w:rFonts w:ascii="Cambria" w:hAnsi="Cambria"/>
          <w:iCs/>
          <w:color w:val="000000" w:themeColor="text1"/>
          <w:sz w:val="23"/>
          <w:szCs w:val="23"/>
        </w:rPr>
      </w:pPr>
      <w:r w:rsidRPr="004D3BF4">
        <w:rPr>
          <w:rFonts w:ascii="Cambria" w:hAnsi="Cambria"/>
          <w:iCs/>
          <w:color w:val="000000" w:themeColor="text1"/>
          <w:sz w:val="23"/>
          <w:szCs w:val="23"/>
        </w:rPr>
        <w:t>Benedict Bartl</w:t>
      </w:r>
      <w:r w:rsidRPr="004D3BF4">
        <w:rPr>
          <w:rFonts w:ascii="Cambria" w:hAnsi="Cambria"/>
          <w:iCs/>
          <w:color w:val="000000" w:themeColor="text1"/>
          <w:sz w:val="23"/>
          <w:szCs w:val="23"/>
        </w:rPr>
        <w:tab/>
      </w:r>
    </w:p>
    <w:p w14:paraId="0F057CBF" w14:textId="77777777" w:rsidR="003D3A55" w:rsidRPr="004D3BF4" w:rsidRDefault="003D3A55" w:rsidP="003D3A55">
      <w:pPr>
        <w:ind w:right="-347"/>
        <w:jc w:val="both"/>
        <w:rPr>
          <w:rFonts w:ascii="Cambria" w:hAnsi="Cambria"/>
          <w:iCs/>
          <w:color w:val="000000" w:themeColor="text1"/>
          <w:sz w:val="23"/>
          <w:szCs w:val="23"/>
        </w:rPr>
      </w:pPr>
      <w:r w:rsidRPr="004D3BF4">
        <w:rPr>
          <w:rFonts w:ascii="Cambria" w:hAnsi="Cambria"/>
          <w:iCs/>
          <w:color w:val="000000" w:themeColor="text1"/>
          <w:sz w:val="23"/>
          <w:szCs w:val="23"/>
        </w:rPr>
        <w:t>Policy Officer</w:t>
      </w:r>
    </w:p>
    <w:p w14:paraId="608F58DE" w14:textId="77777777" w:rsidR="003D3A55" w:rsidRPr="004D3BF4" w:rsidRDefault="003D3A55" w:rsidP="003D3A55">
      <w:pPr>
        <w:pBdr>
          <w:bottom w:val="single" w:sz="6" w:space="1" w:color="auto"/>
        </w:pBdr>
        <w:ind w:right="-347"/>
        <w:jc w:val="both"/>
        <w:rPr>
          <w:rFonts w:ascii="Cambria" w:hAnsi="Cambria"/>
          <w:b/>
          <w:bCs/>
          <w:iCs/>
          <w:color w:val="000000" w:themeColor="text1"/>
          <w:sz w:val="23"/>
          <w:szCs w:val="23"/>
        </w:rPr>
      </w:pPr>
      <w:r w:rsidRPr="004D3BF4">
        <w:rPr>
          <w:rFonts w:ascii="Cambria" w:hAnsi="Cambria"/>
          <w:b/>
          <w:bCs/>
          <w:iCs/>
          <w:color w:val="000000" w:themeColor="text1"/>
          <w:sz w:val="23"/>
          <w:szCs w:val="23"/>
        </w:rPr>
        <w:t>Community Legal Centres Tasmania</w:t>
      </w:r>
    </w:p>
    <w:p w14:paraId="7651204D" w14:textId="77777777" w:rsidR="003D3A55" w:rsidRPr="004D3BF4" w:rsidRDefault="003D3A55" w:rsidP="003D3A55">
      <w:pPr>
        <w:pStyle w:val="NoSpacing"/>
        <w:rPr>
          <w:rFonts w:ascii="Cambria" w:hAnsi="Cambria"/>
          <w:sz w:val="23"/>
          <w:szCs w:val="23"/>
        </w:rPr>
      </w:pPr>
    </w:p>
    <w:p w14:paraId="5BF7F3F5" w14:textId="2FBAE940" w:rsidR="00204B71" w:rsidRDefault="00204B71">
      <w:r>
        <w:t xml:space="preserve">  </w:t>
      </w:r>
    </w:p>
    <w:p w14:paraId="24125C1B" w14:textId="77777777" w:rsidR="00BF0F16" w:rsidRPr="0066411D" w:rsidRDefault="00BF0F16" w:rsidP="0066411D">
      <w:pPr>
        <w:rPr>
          <w:b/>
          <w:bCs/>
        </w:rPr>
      </w:pPr>
    </w:p>
    <w:sectPr w:rsidR="00BF0F16" w:rsidRPr="0066411D" w:rsidSect="00215FCE">
      <w:footerReference w:type="even" r:id="rId11"/>
      <w:footerReference w:type="default" r:id="rId12"/>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2445BE" w14:textId="77777777" w:rsidR="006C2FD7" w:rsidRDefault="006C2FD7" w:rsidP="003D3A55">
      <w:r>
        <w:separator/>
      </w:r>
    </w:p>
  </w:endnote>
  <w:endnote w:type="continuationSeparator" w:id="0">
    <w:p w14:paraId="4D43ACE8" w14:textId="77777777" w:rsidR="006C2FD7" w:rsidRDefault="006C2FD7" w:rsidP="003D3A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02023338"/>
      <w:docPartObj>
        <w:docPartGallery w:val="Page Numbers (Bottom of Page)"/>
        <w:docPartUnique/>
      </w:docPartObj>
    </w:sdtPr>
    <w:sdtContent>
      <w:p w14:paraId="7BA46422" w14:textId="2AA4BDF1" w:rsidR="00A37278" w:rsidRDefault="00A37278" w:rsidP="007F1F9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4BA1075D" w14:textId="77777777" w:rsidR="00A37278" w:rsidRDefault="00A37278" w:rsidP="00A3727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80483097"/>
      <w:docPartObj>
        <w:docPartGallery w:val="Page Numbers (Bottom of Page)"/>
        <w:docPartUnique/>
      </w:docPartObj>
    </w:sdtPr>
    <w:sdtContent>
      <w:p w14:paraId="6090D2F7" w14:textId="0E5F1F4F" w:rsidR="00A37278" w:rsidRDefault="00A37278" w:rsidP="007F1F9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05D263E" w14:textId="77777777" w:rsidR="00A37278" w:rsidRDefault="00A37278" w:rsidP="00A3727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5FA8FE" w14:textId="77777777" w:rsidR="006C2FD7" w:rsidRDefault="006C2FD7" w:rsidP="003D3A55">
      <w:r>
        <w:separator/>
      </w:r>
    </w:p>
  </w:footnote>
  <w:footnote w:type="continuationSeparator" w:id="0">
    <w:p w14:paraId="34A6B6D0" w14:textId="77777777" w:rsidR="006C2FD7" w:rsidRDefault="006C2FD7" w:rsidP="003D3A55">
      <w:r>
        <w:continuationSeparator/>
      </w:r>
    </w:p>
  </w:footnote>
  <w:footnote w:id="1">
    <w:p w14:paraId="1DE44B0F" w14:textId="77777777" w:rsidR="003D3A55" w:rsidRPr="007D7ACC" w:rsidRDefault="003D3A55" w:rsidP="003D3A55">
      <w:pPr>
        <w:pStyle w:val="FootnoteText"/>
        <w:rPr>
          <w:rFonts w:ascii="Cambria" w:hAnsi="Cambria"/>
          <w:color w:val="000000" w:themeColor="text1"/>
          <w:sz w:val="20"/>
          <w:szCs w:val="20"/>
        </w:rPr>
      </w:pPr>
      <w:r w:rsidRPr="007D7ACC">
        <w:rPr>
          <w:rStyle w:val="FootnoteReference"/>
          <w:rFonts w:ascii="Cambria" w:eastAsiaTheme="majorEastAsia" w:hAnsi="Cambria"/>
          <w:color w:val="000000" w:themeColor="text1"/>
          <w:sz w:val="20"/>
          <w:szCs w:val="20"/>
        </w:rPr>
        <w:footnoteRef/>
      </w:r>
      <w:r w:rsidRPr="007D7ACC">
        <w:rPr>
          <w:rFonts w:ascii="Cambria" w:hAnsi="Cambria"/>
          <w:color w:val="000000" w:themeColor="text1"/>
          <w:sz w:val="20"/>
          <w:szCs w:val="20"/>
        </w:rPr>
        <w:t xml:space="preserve"> CLC Tas would like to acknowledge those persons and organisations who gave freely of their time in assisting with our submission. </w:t>
      </w:r>
    </w:p>
  </w:footnote>
  <w:footnote w:id="2">
    <w:p w14:paraId="2E6080FA" w14:textId="7CC9BCF5" w:rsidR="00A359EC" w:rsidRPr="007D7ACC" w:rsidRDefault="00A359EC" w:rsidP="00A359EC">
      <w:pPr>
        <w:pStyle w:val="FootnoteText"/>
        <w:rPr>
          <w:rFonts w:ascii="Cambria" w:hAnsi="Cambria"/>
          <w:sz w:val="20"/>
          <w:szCs w:val="20"/>
        </w:rPr>
      </w:pPr>
      <w:r w:rsidRPr="007D7ACC">
        <w:rPr>
          <w:rStyle w:val="FootnoteReference"/>
          <w:rFonts w:ascii="Cambria" w:hAnsi="Cambria"/>
          <w:sz w:val="20"/>
          <w:szCs w:val="20"/>
        </w:rPr>
        <w:footnoteRef/>
      </w:r>
      <w:r w:rsidRPr="007D7ACC">
        <w:rPr>
          <w:rFonts w:ascii="Cambria" w:hAnsi="Cambria"/>
          <w:sz w:val="20"/>
          <w:szCs w:val="20"/>
        </w:rPr>
        <w:t xml:space="preserve"> Australian Bureau of Statistics, Religious affiliation in Australia (July 2022). As found at </w:t>
      </w:r>
      <w:hyperlink r:id="rId1" w:history="1">
        <w:r w:rsidRPr="007D7ACC">
          <w:rPr>
            <w:rStyle w:val="Hyperlink"/>
            <w:rFonts w:ascii="Cambria" w:hAnsi="Cambria"/>
            <w:sz w:val="20"/>
            <w:szCs w:val="20"/>
          </w:rPr>
          <w:t>https://www.abs.gov.au/articles/religious-affiliation-australia</w:t>
        </w:r>
      </w:hyperlink>
      <w:r w:rsidRPr="007D7ACC">
        <w:rPr>
          <w:rFonts w:ascii="Cambria" w:hAnsi="Cambria"/>
          <w:sz w:val="20"/>
          <w:szCs w:val="20"/>
        </w:rPr>
        <w:t xml:space="preserve"> (accessed </w:t>
      </w:r>
      <w:r w:rsidR="005C66ED">
        <w:rPr>
          <w:rFonts w:ascii="Cambria" w:hAnsi="Cambria"/>
          <w:sz w:val="20"/>
          <w:szCs w:val="20"/>
        </w:rPr>
        <w:t>17</w:t>
      </w:r>
      <w:r w:rsidRPr="007D7ACC">
        <w:rPr>
          <w:rFonts w:ascii="Cambria" w:hAnsi="Cambria"/>
          <w:sz w:val="20"/>
          <w:szCs w:val="20"/>
        </w:rPr>
        <w:t xml:space="preserve"> July 2026). </w:t>
      </w:r>
    </w:p>
  </w:footnote>
  <w:footnote w:id="3">
    <w:p w14:paraId="2EB63E65" w14:textId="03DADC01" w:rsidR="000A08E6" w:rsidRPr="007D7ACC" w:rsidRDefault="000A08E6" w:rsidP="000A08E6">
      <w:pPr>
        <w:rPr>
          <w:rFonts w:ascii="Cambria" w:hAnsi="Cambria"/>
          <w:color w:val="000000" w:themeColor="text1"/>
          <w:sz w:val="20"/>
          <w:szCs w:val="20"/>
        </w:rPr>
      </w:pPr>
      <w:r w:rsidRPr="007D7ACC">
        <w:rPr>
          <w:rStyle w:val="FootnoteReference"/>
          <w:rFonts w:ascii="Cambria" w:hAnsi="Cambria"/>
          <w:sz w:val="20"/>
          <w:szCs w:val="20"/>
        </w:rPr>
        <w:footnoteRef/>
      </w:r>
      <w:r w:rsidRPr="007D7ACC">
        <w:rPr>
          <w:rFonts w:ascii="Cambria" w:hAnsi="Cambria"/>
          <w:sz w:val="20"/>
          <w:szCs w:val="20"/>
        </w:rPr>
        <w:t xml:space="preserve"> </w:t>
      </w:r>
      <w:r w:rsidRPr="007D7ACC">
        <w:rPr>
          <w:rFonts w:ascii="Cambria" w:hAnsi="Cambria"/>
          <w:color w:val="000000" w:themeColor="text1"/>
          <w:sz w:val="20"/>
          <w:szCs w:val="20"/>
        </w:rPr>
        <w:t xml:space="preserve">Coronial Council of Victoria, </w:t>
      </w:r>
      <w:r w:rsidRPr="007D7ACC">
        <w:rPr>
          <w:rFonts w:ascii="Cambria" w:hAnsi="Cambria"/>
          <w:i/>
          <w:iCs/>
          <w:color w:val="000000" w:themeColor="text1"/>
          <w:sz w:val="20"/>
          <w:szCs w:val="20"/>
        </w:rPr>
        <w:t>Review into the appropriate and responsive care of deaths in multifaith and multicultural communities by the Coroners Court of Victoria and related entities involved in coronial processes</w:t>
      </w:r>
      <w:r w:rsidRPr="007D7ACC">
        <w:rPr>
          <w:rFonts w:ascii="Cambria" w:hAnsi="Cambria"/>
          <w:color w:val="000000" w:themeColor="text1"/>
          <w:sz w:val="20"/>
          <w:szCs w:val="20"/>
        </w:rPr>
        <w:t xml:space="preserve"> (Final Report: July 2020)</w:t>
      </w:r>
      <w:r w:rsidRPr="007D7ACC">
        <w:rPr>
          <w:rFonts w:ascii="Cambria" w:hAnsi="Cambria"/>
          <w:color w:val="000000" w:themeColor="text1"/>
          <w:sz w:val="20"/>
          <w:szCs w:val="20"/>
        </w:rPr>
        <w:t xml:space="preserve"> at </w:t>
      </w:r>
      <w:r w:rsidR="0042170D" w:rsidRPr="007D7ACC">
        <w:rPr>
          <w:rFonts w:ascii="Cambria" w:hAnsi="Cambria"/>
          <w:color w:val="000000" w:themeColor="text1"/>
          <w:sz w:val="20"/>
          <w:szCs w:val="20"/>
        </w:rPr>
        <w:t xml:space="preserve">para. 3.5.1. </w:t>
      </w:r>
      <w:r w:rsidRPr="007D7ACC">
        <w:rPr>
          <w:rFonts w:ascii="Cambria" w:hAnsi="Cambria"/>
          <w:color w:val="000000" w:themeColor="text1"/>
          <w:sz w:val="20"/>
          <w:szCs w:val="20"/>
        </w:rPr>
        <w:t xml:space="preserve">As found at </w:t>
      </w:r>
    </w:p>
    <w:p w14:paraId="7048A4CA" w14:textId="518BB794" w:rsidR="000A08E6" w:rsidRPr="007D7ACC" w:rsidRDefault="000A08E6" w:rsidP="000A08E6">
      <w:pPr>
        <w:pStyle w:val="FootnoteText"/>
        <w:rPr>
          <w:rFonts w:ascii="Cambria" w:hAnsi="Cambria"/>
          <w:sz w:val="20"/>
          <w:szCs w:val="20"/>
        </w:rPr>
      </w:pPr>
      <w:hyperlink r:id="rId2" w:history="1">
        <w:r w:rsidRPr="007D7ACC">
          <w:rPr>
            <w:rStyle w:val="Hyperlink"/>
            <w:rFonts w:ascii="Cambria" w:hAnsi="Cambria"/>
            <w:sz w:val="20"/>
            <w:szCs w:val="20"/>
          </w:rPr>
          <w:t>https://www.justice.vic.gov.au/justice-system/courts-and-tribunals/review-into-the-appropriate-and-responsive-care-of-deaths-in</w:t>
        </w:r>
      </w:hyperlink>
      <w:r w:rsidRPr="007D7ACC">
        <w:rPr>
          <w:rFonts w:ascii="Cambria" w:hAnsi="Cambria"/>
          <w:color w:val="000000" w:themeColor="text1"/>
          <w:sz w:val="20"/>
          <w:szCs w:val="20"/>
        </w:rPr>
        <w:t xml:space="preserve"> (accessed </w:t>
      </w:r>
      <w:r w:rsidR="005C66ED">
        <w:rPr>
          <w:rFonts w:ascii="Cambria" w:hAnsi="Cambria"/>
          <w:color w:val="000000" w:themeColor="text1"/>
          <w:sz w:val="20"/>
          <w:szCs w:val="20"/>
        </w:rPr>
        <w:t>17</w:t>
      </w:r>
      <w:r w:rsidRPr="007D7ACC">
        <w:rPr>
          <w:rFonts w:ascii="Cambria" w:hAnsi="Cambria"/>
          <w:color w:val="000000" w:themeColor="text1"/>
          <w:sz w:val="20"/>
          <w:szCs w:val="20"/>
        </w:rPr>
        <w:t xml:space="preserve"> July 2026).   </w:t>
      </w:r>
    </w:p>
  </w:footnote>
  <w:footnote w:id="4">
    <w:p w14:paraId="4740C80B" w14:textId="77777777" w:rsidR="00A359EC" w:rsidRPr="007D7ACC" w:rsidRDefault="00A359EC" w:rsidP="00A359EC">
      <w:pPr>
        <w:pStyle w:val="FootnoteText"/>
        <w:rPr>
          <w:rFonts w:ascii="Cambria" w:hAnsi="Cambria"/>
          <w:sz w:val="20"/>
          <w:szCs w:val="20"/>
        </w:rPr>
      </w:pPr>
      <w:r w:rsidRPr="007D7ACC">
        <w:rPr>
          <w:rStyle w:val="FootnoteReference"/>
          <w:rFonts w:ascii="Cambria" w:hAnsi="Cambria"/>
          <w:sz w:val="20"/>
          <w:szCs w:val="20"/>
        </w:rPr>
        <w:footnoteRef/>
      </w:r>
      <w:r w:rsidRPr="007D7ACC">
        <w:rPr>
          <w:rFonts w:ascii="Cambria" w:hAnsi="Cambria"/>
          <w:sz w:val="20"/>
          <w:szCs w:val="20"/>
        </w:rPr>
        <w:t xml:space="preserve"> The Act defines ‘senior next of kin’ as including “if the deceased person is an Aboriginal person, a person who, according to the customs and tradition of the community or group to which the person belongs, is an appropriate person”: section 3A of the </w:t>
      </w:r>
      <w:r w:rsidRPr="007D7ACC">
        <w:rPr>
          <w:rFonts w:ascii="Cambria" w:hAnsi="Cambria"/>
          <w:i/>
          <w:iCs/>
          <w:sz w:val="20"/>
          <w:szCs w:val="20"/>
        </w:rPr>
        <w:t>Coroners Act 1995</w:t>
      </w:r>
      <w:r w:rsidRPr="007D7ACC">
        <w:rPr>
          <w:rFonts w:ascii="Cambria" w:hAnsi="Cambria"/>
          <w:sz w:val="20"/>
          <w:szCs w:val="20"/>
        </w:rPr>
        <w:t xml:space="preserve"> (Tas). Also see section 23 of the Act which outlines what is to occur with aboriginal remains.   </w:t>
      </w:r>
    </w:p>
  </w:footnote>
  <w:footnote w:id="5">
    <w:p w14:paraId="3EC416EF" w14:textId="74EA8276" w:rsidR="00F91A1B" w:rsidRPr="007D7ACC" w:rsidRDefault="00F91A1B">
      <w:pPr>
        <w:pStyle w:val="FootnoteText"/>
        <w:rPr>
          <w:rFonts w:ascii="Cambria" w:hAnsi="Cambria"/>
          <w:sz w:val="20"/>
          <w:szCs w:val="20"/>
        </w:rPr>
      </w:pPr>
      <w:r w:rsidRPr="007D7ACC">
        <w:rPr>
          <w:rStyle w:val="FootnoteReference"/>
          <w:rFonts w:ascii="Cambria" w:hAnsi="Cambria"/>
          <w:sz w:val="20"/>
          <w:szCs w:val="20"/>
        </w:rPr>
        <w:footnoteRef/>
      </w:r>
      <w:r w:rsidRPr="007D7ACC">
        <w:rPr>
          <w:rFonts w:ascii="Cambria" w:hAnsi="Cambria"/>
          <w:sz w:val="20"/>
          <w:szCs w:val="20"/>
        </w:rPr>
        <w:t xml:space="preserve"> Magistrates Court of Tasmania, </w:t>
      </w:r>
      <w:r w:rsidRPr="007D7ACC">
        <w:rPr>
          <w:rFonts w:ascii="Cambria" w:hAnsi="Cambria"/>
          <w:i/>
          <w:iCs/>
          <w:sz w:val="20"/>
          <w:szCs w:val="20"/>
        </w:rPr>
        <w:t>Tasmanian Coronial Practice Handbook</w:t>
      </w:r>
      <w:r w:rsidRPr="007D7ACC">
        <w:rPr>
          <w:rFonts w:ascii="Cambria" w:hAnsi="Cambria"/>
          <w:sz w:val="20"/>
          <w:szCs w:val="20"/>
        </w:rPr>
        <w:t xml:space="preserve"> (2016) at 39 and 107.  </w:t>
      </w:r>
    </w:p>
  </w:footnote>
  <w:footnote w:id="6">
    <w:p w14:paraId="1B4723F1" w14:textId="67DE682D" w:rsidR="00A359EC" w:rsidRPr="007D7ACC" w:rsidRDefault="00A359EC" w:rsidP="00A359EC">
      <w:pPr>
        <w:pStyle w:val="FootnoteText"/>
        <w:rPr>
          <w:rFonts w:ascii="Cambria" w:hAnsi="Cambria"/>
          <w:sz w:val="20"/>
          <w:szCs w:val="20"/>
        </w:rPr>
      </w:pPr>
      <w:r w:rsidRPr="007D7ACC">
        <w:rPr>
          <w:rStyle w:val="FootnoteReference"/>
          <w:rFonts w:ascii="Cambria" w:hAnsi="Cambria"/>
          <w:sz w:val="20"/>
          <w:szCs w:val="20"/>
        </w:rPr>
        <w:footnoteRef/>
      </w:r>
      <w:r w:rsidRPr="007D7ACC">
        <w:rPr>
          <w:rFonts w:ascii="Cambria" w:hAnsi="Cambria"/>
          <w:sz w:val="20"/>
          <w:szCs w:val="20"/>
        </w:rPr>
        <w:t xml:space="preserve"> Section 8(c) of the </w:t>
      </w:r>
      <w:r w:rsidRPr="007D7ACC">
        <w:rPr>
          <w:rFonts w:ascii="Cambria" w:hAnsi="Cambria"/>
          <w:i/>
          <w:iCs/>
          <w:sz w:val="20"/>
          <w:szCs w:val="20"/>
        </w:rPr>
        <w:t>Coroners Act 2008</w:t>
      </w:r>
      <w:r w:rsidRPr="007D7ACC">
        <w:rPr>
          <w:rFonts w:ascii="Cambria" w:hAnsi="Cambria"/>
          <w:sz w:val="20"/>
          <w:szCs w:val="20"/>
        </w:rPr>
        <w:t xml:space="preserve"> (Vic).</w:t>
      </w:r>
      <w:r w:rsidR="006E45E1" w:rsidRPr="007D7ACC">
        <w:rPr>
          <w:rFonts w:ascii="Cambria" w:hAnsi="Cambria"/>
          <w:sz w:val="20"/>
          <w:szCs w:val="20"/>
        </w:rPr>
        <w:t xml:space="preserve"> Also see sections 3BA(2)(iv) and 17A of the </w:t>
      </w:r>
      <w:r w:rsidR="006E45E1" w:rsidRPr="007D7ACC">
        <w:rPr>
          <w:rFonts w:ascii="Cambria" w:hAnsi="Cambria"/>
          <w:i/>
          <w:iCs/>
          <w:sz w:val="20"/>
          <w:szCs w:val="20"/>
        </w:rPr>
        <w:t>Coroners Act 1997</w:t>
      </w:r>
      <w:r w:rsidR="006E45E1" w:rsidRPr="007D7ACC">
        <w:rPr>
          <w:rFonts w:ascii="Cambria" w:hAnsi="Cambria"/>
          <w:sz w:val="20"/>
          <w:szCs w:val="20"/>
        </w:rPr>
        <w:t xml:space="preserve"> (ACT). </w:t>
      </w:r>
      <w:r w:rsidRPr="007D7ACC">
        <w:rPr>
          <w:rFonts w:ascii="Cambria" w:hAnsi="Cambria"/>
          <w:sz w:val="20"/>
          <w:szCs w:val="20"/>
        </w:rPr>
        <w:t xml:space="preserve"> </w:t>
      </w:r>
    </w:p>
  </w:footnote>
  <w:footnote w:id="7">
    <w:p w14:paraId="0E054BA9" w14:textId="2AB7156A" w:rsidR="008A038B" w:rsidRPr="007D7ACC" w:rsidRDefault="008A038B" w:rsidP="008A038B">
      <w:pPr>
        <w:rPr>
          <w:rFonts w:ascii="Cambria" w:hAnsi="Cambria"/>
          <w:color w:val="000000" w:themeColor="text1"/>
          <w:sz w:val="20"/>
          <w:szCs w:val="20"/>
        </w:rPr>
      </w:pPr>
      <w:r w:rsidRPr="007D7ACC">
        <w:rPr>
          <w:rStyle w:val="FootnoteReference"/>
          <w:rFonts w:ascii="Cambria" w:hAnsi="Cambria"/>
          <w:sz w:val="20"/>
          <w:szCs w:val="20"/>
        </w:rPr>
        <w:footnoteRef/>
      </w:r>
      <w:r w:rsidRPr="007D7ACC">
        <w:rPr>
          <w:rFonts w:ascii="Cambria" w:hAnsi="Cambria"/>
          <w:sz w:val="20"/>
          <w:szCs w:val="20"/>
        </w:rPr>
        <w:t xml:space="preserve"> </w:t>
      </w:r>
      <w:r w:rsidRPr="007D7ACC">
        <w:rPr>
          <w:rFonts w:ascii="Cambria" w:hAnsi="Cambria"/>
          <w:color w:val="000000" w:themeColor="text1"/>
          <w:sz w:val="20"/>
          <w:szCs w:val="20"/>
        </w:rPr>
        <w:t xml:space="preserve">Coronial Council of Victoria, </w:t>
      </w:r>
      <w:r w:rsidRPr="007D7ACC">
        <w:rPr>
          <w:rFonts w:ascii="Cambria" w:hAnsi="Cambria"/>
          <w:i/>
          <w:iCs/>
          <w:color w:val="000000" w:themeColor="text1"/>
          <w:sz w:val="20"/>
          <w:szCs w:val="20"/>
        </w:rPr>
        <w:t>Review into the appropriate and responsive care of deaths in multifaith and multicultural communities by the Coroners Court of Victoria and related entities involved in coronial processes</w:t>
      </w:r>
      <w:r w:rsidRPr="007D7ACC">
        <w:rPr>
          <w:rFonts w:ascii="Cambria" w:hAnsi="Cambria"/>
          <w:color w:val="000000" w:themeColor="text1"/>
          <w:sz w:val="20"/>
          <w:szCs w:val="20"/>
        </w:rPr>
        <w:t xml:space="preserve"> (Final Report: July 2020)</w:t>
      </w:r>
      <w:r w:rsidR="00D70FF6" w:rsidRPr="007D7ACC">
        <w:rPr>
          <w:rFonts w:ascii="Cambria" w:hAnsi="Cambria"/>
          <w:color w:val="000000" w:themeColor="text1"/>
          <w:sz w:val="20"/>
          <w:szCs w:val="20"/>
        </w:rPr>
        <w:t xml:space="preserve"> As found at </w:t>
      </w:r>
    </w:p>
    <w:p w14:paraId="79F18295" w14:textId="07DC30BA" w:rsidR="008A038B" w:rsidRPr="007D7ACC" w:rsidRDefault="00D70FF6" w:rsidP="008A038B">
      <w:pPr>
        <w:rPr>
          <w:rFonts w:ascii="Cambria" w:hAnsi="Cambria"/>
          <w:color w:val="000000" w:themeColor="text1"/>
          <w:sz w:val="20"/>
          <w:szCs w:val="20"/>
        </w:rPr>
      </w:pPr>
      <w:hyperlink r:id="rId3" w:history="1">
        <w:r w:rsidRPr="007D7ACC">
          <w:rPr>
            <w:rStyle w:val="Hyperlink"/>
            <w:rFonts w:ascii="Cambria" w:hAnsi="Cambria"/>
            <w:sz w:val="20"/>
            <w:szCs w:val="20"/>
          </w:rPr>
          <w:t>https://www.justice.vic.gov.au/justice-system/courts-and-tribunals/review-into-the-appropriate-and-responsive-care-of-deaths-in</w:t>
        </w:r>
      </w:hyperlink>
      <w:r w:rsidRPr="007D7ACC">
        <w:rPr>
          <w:rFonts w:ascii="Cambria" w:hAnsi="Cambria"/>
          <w:color w:val="000000" w:themeColor="text1"/>
          <w:sz w:val="20"/>
          <w:szCs w:val="20"/>
        </w:rPr>
        <w:t xml:space="preserve"> (accessed 6 July 2026).  </w:t>
      </w:r>
      <w:r w:rsidR="008A038B" w:rsidRPr="007D7ACC">
        <w:rPr>
          <w:rFonts w:ascii="Cambria" w:hAnsi="Cambria"/>
          <w:color w:val="000000" w:themeColor="text1"/>
          <w:sz w:val="20"/>
          <w:szCs w:val="20"/>
        </w:rPr>
        <w:t xml:space="preserve"> </w:t>
      </w:r>
    </w:p>
  </w:footnote>
  <w:footnote w:id="8">
    <w:p w14:paraId="133A9524" w14:textId="77777777" w:rsidR="00A359EC" w:rsidRPr="007D7ACC" w:rsidRDefault="00A359EC" w:rsidP="00A359EC">
      <w:pPr>
        <w:pStyle w:val="FootnoteText"/>
        <w:rPr>
          <w:rFonts w:ascii="Cambria" w:hAnsi="Cambria"/>
          <w:sz w:val="20"/>
          <w:szCs w:val="20"/>
        </w:rPr>
      </w:pPr>
      <w:r w:rsidRPr="007D7ACC">
        <w:rPr>
          <w:rStyle w:val="FootnoteReference"/>
          <w:rFonts w:ascii="Cambria" w:hAnsi="Cambria"/>
          <w:sz w:val="20"/>
          <w:szCs w:val="20"/>
        </w:rPr>
        <w:footnoteRef/>
      </w:r>
      <w:r w:rsidRPr="007D7ACC">
        <w:rPr>
          <w:rFonts w:ascii="Cambria" w:hAnsi="Cambria"/>
          <w:sz w:val="20"/>
          <w:szCs w:val="20"/>
        </w:rPr>
        <w:t xml:space="preserve"> Section 88 of the Coroners Act 2009 (NSW). </w:t>
      </w:r>
    </w:p>
  </w:footnote>
  <w:footnote w:id="9">
    <w:p w14:paraId="6CCFB556" w14:textId="1322035C" w:rsidR="00A03CD5" w:rsidRPr="007D7ACC" w:rsidRDefault="00A03CD5">
      <w:pPr>
        <w:pStyle w:val="FootnoteText"/>
        <w:rPr>
          <w:rFonts w:ascii="Cambria" w:hAnsi="Cambria"/>
          <w:sz w:val="20"/>
          <w:szCs w:val="20"/>
        </w:rPr>
      </w:pPr>
      <w:r w:rsidRPr="007D7ACC">
        <w:rPr>
          <w:rStyle w:val="FootnoteReference"/>
          <w:rFonts w:ascii="Cambria" w:hAnsi="Cambria"/>
          <w:sz w:val="20"/>
          <w:szCs w:val="20"/>
        </w:rPr>
        <w:footnoteRef/>
      </w:r>
      <w:r w:rsidRPr="007D7ACC">
        <w:rPr>
          <w:rFonts w:ascii="Cambria" w:hAnsi="Cambria"/>
          <w:sz w:val="20"/>
          <w:szCs w:val="20"/>
        </w:rPr>
        <w:t xml:space="preserve"> See, for example, sections 38, 39 and 28A of the </w:t>
      </w:r>
      <w:r w:rsidRPr="007D7ACC">
        <w:rPr>
          <w:rFonts w:ascii="Cambria" w:hAnsi="Cambria"/>
          <w:i/>
          <w:iCs/>
          <w:sz w:val="20"/>
          <w:szCs w:val="20"/>
        </w:rPr>
        <w:t>Coroners Act 1995</w:t>
      </w:r>
      <w:r w:rsidRPr="007D7ACC">
        <w:rPr>
          <w:rFonts w:ascii="Cambria" w:hAnsi="Cambria"/>
          <w:sz w:val="20"/>
          <w:szCs w:val="20"/>
        </w:rPr>
        <w:t xml:space="preserve"> (Tas). </w:t>
      </w:r>
    </w:p>
  </w:footnote>
  <w:footnote w:id="10">
    <w:p w14:paraId="76DB9E86" w14:textId="484AEBEF" w:rsidR="007D7ACC" w:rsidRPr="007D7ACC" w:rsidRDefault="007D7ACC">
      <w:pPr>
        <w:pStyle w:val="FootnoteText"/>
        <w:rPr>
          <w:rFonts w:ascii="Cambria" w:hAnsi="Cambria"/>
          <w:sz w:val="20"/>
          <w:szCs w:val="20"/>
        </w:rPr>
      </w:pPr>
      <w:r w:rsidRPr="007D7ACC">
        <w:rPr>
          <w:rStyle w:val="FootnoteReference"/>
          <w:rFonts w:ascii="Cambria" w:hAnsi="Cambria"/>
          <w:sz w:val="20"/>
          <w:szCs w:val="20"/>
        </w:rPr>
        <w:footnoteRef/>
      </w:r>
      <w:r w:rsidRPr="007D7ACC">
        <w:rPr>
          <w:rFonts w:ascii="Cambria" w:hAnsi="Cambria"/>
          <w:sz w:val="20"/>
          <w:szCs w:val="20"/>
        </w:rPr>
        <w:t xml:space="preserve"> </w:t>
      </w:r>
      <w:r w:rsidRPr="007D7ACC">
        <w:rPr>
          <w:rFonts w:ascii="Cambria" w:hAnsi="Cambria"/>
          <w:sz w:val="20"/>
          <w:szCs w:val="20"/>
        </w:rPr>
        <w:t>Section 3A</w:t>
      </w:r>
      <w:r w:rsidRPr="007D7ACC">
        <w:rPr>
          <w:rFonts w:ascii="Cambria" w:hAnsi="Cambria"/>
          <w:sz w:val="20"/>
          <w:szCs w:val="20"/>
        </w:rPr>
        <w:t xml:space="preserve"> </w:t>
      </w:r>
      <w:r w:rsidRPr="007D7ACC">
        <w:rPr>
          <w:rFonts w:ascii="Cambria" w:hAnsi="Cambria"/>
          <w:sz w:val="20"/>
          <w:szCs w:val="20"/>
        </w:rPr>
        <w:t xml:space="preserve">of the </w:t>
      </w:r>
      <w:r w:rsidRPr="007D7ACC">
        <w:rPr>
          <w:rFonts w:ascii="Cambria" w:hAnsi="Cambria"/>
          <w:i/>
          <w:iCs/>
          <w:sz w:val="20"/>
          <w:szCs w:val="20"/>
        </w:rPr>
        <w:t>Coroners Act 1995</w:t>
      </w:r>
      <w:r w:rsidRPr="007D7ACC">
        <w:rPr>
          <w:rFonts w:ascii="Cambria" w:hAnsi="Cambria"/>
          <w:sz w:val="20"/>
          <w:szCs w:val="20"/>
        </w:rPr>
        <w:t xml:space="preserve"> (Tas).</w:t>
      </w:r>
    </w:p>
  </w:footnote>
  <w:footnote w:id="11">
    <w:p w14:paraId="63819786" w14:textId="60DDC798" w:rsidR="00A03CD5" w:rsidRPr="007D7ACC" w:rsidRDefault="00A03CD5">
      <w:pPr>
        <w:pStyle w:val="FootnoteText"/>
        <w:rPr>
          <w:rFonts w:ascii="Cambria" w:hAnsi="Cambria"/>
          <w:sz w:val="20"/>
          <w:szCs w:val="20"/>
        </w:rPr>
      </w:pPr>
      <w:r w:rsidRPr="007D7ACC">
        <w:rPr>
          <w:rStyle w:val="FootnoteReference"/>
          <w:rFonts w:ascii="Cambria" w:hAnsi="Cambria"/>
          <w:sz w:val="20"/>
          <w:szCs w:val="20"/>
        </w:rPr>
        <w:footnoteRef/>
      </w:r>
      <w:r w:rsidRPr="007D7ACC">
        <w:rPr>
          <w:rFonts w:ascii="Cambria" w:hAnsi="Cambria"/>
          <w:sz w:val="20"/>
          <w:szCs w:val="20"/>
        </w:rPr>
        <w:t xml:space="preserve"> </w:t>
      </w:r>
      <w:r w:rsidRPr="007D7ACC">
        <w:rPr>
          <w:rFonts w:ascii="Cambria" w:hAnsi="Cambria"/>
          <w:sz w:val="20"/>
          <w:szCs w:val="20"/>
        </w:rPr>
        <w:t>Sections 3</w:t>
      </w:r>
      <w:r w:rsidRPr="007D7ACC">
        <w:rPr>
          <w:rFonts w:ascii="Cambria" w:hAnsi="Cambria"/>
          <w:sz w:val="20"/>
          <w:szCs w:val="20"/>
        </w:rPr>
        <w:t>A</w:t>
      </w:r>
      <w:r w:rsidR="007D7ACC" w:rsidRPr="007D7ACC">
        <w:rPr>
          <w:rFonts w:ascii="Cambria" w:hAnsi="Cambria"/>
          <w:sz w:val="20"/>
          <w:szCs w:val="20"/>
        </w:rPr>
        <w:t xml:space="preserve">(a) and </w:t>
      </w:r>
      <w:r w:rsidRPr="007D7ACC">
        <w:rPr>
          <w:rFonts w:ascii="Cambria" w:hAnsi="Cambria"/>
          <w:sz w:val="20"/>
          <w:szCs w:val="20"/>
        </w:rPr>
        <w:t>(</w:t>
      </w:r>
      <w:proofErr w:type="spellStart"/>
      <w:r w:rsidRPr="007D7ACC">
        <w:rPr>
          <w:rFonts w:ascii="Cambria" w:hAnsi="Cambria"/>
          <w:sz w:val="20"/>
          <w:szCs w:val="20"/>
        </w:rPr>
        <w:t>i</w:t>
      </w:r>
      <w:proofErr w:type="spellEnd"/>
      <w:r w:rsidRPr="007D7ACC">
        <w:rPr>
          <w:rFonts w:ascii="Cambria" w:hAnsi="Cambria"/>
          <w:sz w:val="20"/>
          <w:szCs w:val="20"/>
        </w:rPr>
        <w:t>)</w:t>
      </w:r>
      <w:r w:rsidR="007D7ACC" w:rsidRPr="007D7ACC">
        <w:rPr>
          <w:rFonts w:ascii="Cambria" w:hAnsi="Cambria"/>
          <w:sz w:val="20"/>
          <w:szCs w:val="20"/>
        </w:rPr>
        <w:t xml:space="preserve"> </w:t>
      </w:r>
      <w:r w:rsidRPr="007D7ACC">
        <w:rPr>
          <w:rFonts w:ascii="Cambria" w:hAnsi="Cambria"/>
          <w:sz w:val="20"/>
          <w:szCs w:val="20"/>
        </w:rPr>
        <w:t xml:space="preserve">of the </w:t>
      </w:r>
      <w:r w:rsidRPr="007D7ACC">
        <w:rPr>
          <w:rFonts w:ascii="Cambria" w:hAnsi="Cambria"/>
          <w:i/>
          <w:iCs/>
          <w:sz w:val="20"/>
          <w:szCs w:val="20"/>
        </w:rPr>
        <w:t>Coroners Act 1995</w:t>
      </w:r>
      <w:r w:rsidRPr="007D7ACC">
        <w:rPr>
          <w:rFonts w:ascii="Cambria" w:hAnsi="Cambria"/>
          <w:sz w:val="20"/>
          <w:szCs w:val="20"/>
        </w:rPr>
        <w:t xml:space="preserve"> (Tas).</w:t>
      </w:r>
    </w:p>
  </w:footnote>
  <w:footnote w:id="12">
    <w:p w14:paraId="1112E095" w14:textId="0AC29658" w:rsidR="008E21EE" w:rsidRPr="007D7ACC" w:rsidRDefault="008E21EE">
      <w:pPr>
        <w:pStyle w:val="FootnoteText"/>
        <w:rPr>
          <w:rFonts w:ascii="Cambria" w:hAnsi="Cambria"/>
          <w:sz w:val="20"/>
          <w:szCs w:val="20"/>
        </w:rPr>
      </w:pPr>
      <w:r w:rsidRPr="007D7ACC">
        <w:rPr>
          <w:rStyle w:val="FootnoteReference"/>
          <w:rFonts w:ascii="Cambria" w:hAnsi="Cambria"/>
          <w:sz w:val="20"/>
          <w:szCs w:val="20"/>
        </w:rPr>
        <w:footnoteRef/>
      </w:r>
      <w:r w:rsidRPr="007D7ACC">
        <w:rPr>
          <w:rFonts w:ascii="Cambria" w:hAnsi="Cambria"/>
          <w:sz w:val="20"/>
          <w:szCs w:val="20"/>
        </w:rPr>
        <w:t xml:space="preserve"> </w:t>
      </w:r>
      <w:r w:rsidRPr="007D7ACC">
        <w:rPr>
          <w:rFonts w:ascii="Cambria" w:hAnsi="Cambria"/>
          <w:sz w:val="20"/>
          <w:szCs w:val="20"/>
        </w:rPr>
        <w:t xml:space="preserve">Magistrates Court of Tasmania, </w:t>
      </w:r>
      <w:r w:rsidRPr="007D7ACC">
        <w:rPr>
          <w:rFonts w:ascii="Cambria" w:hAnsi="Cambria"/>
          <w:i/>
          <w:iCs/>
          <w:sz w:val="20"/>
          <w:szCs w:val="20"/>
        </w:rPr>
        <w:t>Tasmanian Coronial Practice Handbook</w:t>
      </w:r>
      <w:r w:rsidRPr="007D7ACC">
        <w:rPr>
          <w:rFonts w:ascii="Cambria" w:hAnsi="Cambria"/>
          <w:sz w:val="20"/>
          <w:szCs w:val="20"/>
        </w:rPr>
        <w:t xml:space="preserve"> (2016) at 30. </w:t>
      </w:r>
    </w:p>
  </w:footnote>
  <w:footnote w:id="13">
    <w:p w14:paraId="5C6C7390" w14:textId="18A79574" w:rsidR="0047746F" w:rsidRPr="007D7ACC" w:rsidRDefault="0047746F">
      <w:pPr>
        <w:pStyle w:val="FootnoteText"/>
        <w:rPr>
          <w:rFonts w:ascii="Cambria" w:hAnsi="Cambria"/>
          <w:sz w:val="20"/>
          <w:szCs w:val="20"/>
        </w:rPr>
      </w:pPr>
      <w:r w:rsidRPr="007D7ACC">
        <w:rPr>
          <w:rStyle w:val="FootnoteReference"/>
          <w:rFonts w:ascii="Cambria" w:hAnsi="Cambria"/>
          <w:sz w:val="20"/>
          <w:szCs w:val="20"/>
        </w:rPr>
        <w:footnoteRef/>
      </w:r>
      <w:r w:rsidRPr="007D7ACC">
        <w:rPr>
          <w:rFonts w:ascii="Cambria" w:hAnsi="Cambria"/>
          <w:sz w:val="20"/>
          <w:szCs w:val="20"/>
        </w:rPr>
        <w:t xml:space="preserve"> Section 9 of the </w:t>
      </w:r>
      <w:r w:rsidRPr="007D7ACC">
        <w:rPr>
          <w:rFonts w:ascii="Cambria" w:hAnsi="Cambria"/>
          <w:i/>
          <w:iCs/>
          <w:sz w:val="20"/>
          <w:szCs w:val="20"/>
        </w:rPr>
        <w:t>Coroners Act 2006</w:t>
      </w:r>
      <w:r w:rsidRPr="007D7ACC">
        <w:rPr>
          <w:rFonts w:ascii="Cambria" w:hAnsi="Cambria"/>
          <w:sz w:val="20"/>
          <w:szCs w:val="20"/>
        </w:rPr>
        <w:t xml:space="preserve"> (NZ). </w:t>
      </w:r>
    </w:p>
  </w:footnote>
  <w:footnote w:id="14">
    <w:p w14:paraId="120521D8" w14:textId="77777777" w:rsidR="003A4507" w:rsidRPr="007D7ACC" w:rsidRDefault="003A4507" w:rsidP="003A4507">
      <w:pPr>
        <w:pStyle w:val="FootnoteText"/>
        <w:rPr>
          <w:rFonts w:ascii="Cambria" w:hAnsi="Cambria"/>
          <w:sz w:val="20"/>
          <w:szCs w:val="20"/>
        </w:rPr>
      </w:pPr>
      <w:r w:rsidRPr="007D7ACC">
        <w:rPr>
          <w:rStyle w:val="FootnoteReference"/>
          <w:rFonts w:ascii="Cambria" w:hAnsi="Cambria"/>
          <w:sz w:val="20"/>
          <w:szCs w:val="20"/>
        </w:rPr>
        <w:footnoteRef/>
      </w:r>
      <w:r w:rsidRPr="007D7ACC">
        <w:rPr>
          <w:rFonts w:ascii="Cambria" w:hAnsi="Cambria"/>
          <w:sz w:val="20"/>
          <w:szCs w:val="20"/>
        </w:rPr>
        <w:t xml:space="preserve"> Rodney Croome, ‘With a marriage certificate, Ben Jago could have laid his partner to rest. Without it, he was a stranger’, </w:t>
      </w:r>
      <w:r w:rsidRPr="007D7ACC">
        <w:rPr>
          <w:rFonts w:ascii="Cambria" w:hAnsi="Cambria"/>
          <w:i/>
          <w:iCs/>
          <w:sz w:val="20"/>
          <w:szCs w:val="20"/>
        </w:rPr>
        <w:t>The Guardian</w:t>
      </w:r>
      <w:r w:rsidRPr="007D7ACC">
        <w:rPr>
          <w:rFonts w:ascii="Cambria" w:hAnsi="Cambria"/>
          <w:sz w:val="20"/>
          <w:szCs w:val="20"/>
        </w:rPr>
        <w:t xml:space="preserve">, 13 November 2015. As found at </w:t>
      </w:r>
      <w:hyperlink r:id="rId4" w:history="1">
        <w:r w:rsidRPr="007D7ACC">
          <w:rPr>
            <w:rStyle w:val="Hyperlink"/>
            <w:rFonts w:ascii="Cambria" w:hAnsi="Cambria"/>
            <w:sz w:val="20"/>
            <w:szCs w:val="20"/>
          </w:rPr>
          <w:t>https://www.theguardian.com/commentisfree/2015/nov/13/with-a-marriage-certificate-ben-jago-could-have-laid-his-partner-to-rest-without-it-he-was-a-stranger</w:t>
        </w:r>
      </w:hyperlink>
      <w:r w:rsidRPr="007D7ACC">
        <w:rPr>
          <w:rFonts w:ascii="Cambria" w:hAnsi="Cambria"/>
          <w:sz w:val="20"/>
          <w:szCs w:val="20"/>
        </w:rPr>
        <w:t xml:space="preserve"> (accessed 6 July 2026).</w:t>
      </w:r>
    </w:p>
  </w:footnote>
  <w:footnote w:id="15">
    <w:p w14:paraId="69F0262C" w14:textId="5AAE5992" w:rsidR="003A4507" w:rsidRPr="007D7ACC" w:rsidRDefault="003A4507" w:rsidP="003A4507">
      <w:pPr>
        <w:pStyle w:val="FootnoteText"/>
        <w:rPr>
          <w:rFonts w:ascii="Cambria" w:hAnsi="Cambria"/>
          <w:sz w:val="20"/>
          <w:szCs w:val="20"/>
        </w:rPr>
      </w:pPr>
      <w:r w:rsidRPr="007D7ACC">
        <w:rPr>
          <w:rStyle w:val="FootnoteReference"/>
          <w:rFonts w:ascii="Cambria" w:hAnsi="Cambria"/>
          <w:sz w:val="20"/>
          <w:szCs w:val="20"/>
        </w:rPr>
        <w:footnoteRef/>
      </w:r>
      <w:r w:rsidRPr="007D7ACC">
        <w:rPr>
          <w:rFonts w:ascii="Cambria" w:hAnsi="Cambria"/>
          <w:sz w:val="20"/>
          <w:szCs w:val="20"/>
        </w:rPr>
        <w:t xml:space="preserve"> </w:t>
      </w:r>
      <w:r w:rsidR="004D3BF4">
        <w:rPr>
          <w:rFonts w:ascii="Cambria" w:hAnsi="Cambria"/>
          <w:sz w:val="20"/>
          <w:szCs w:val="20"/>
        </w:rPr>
        <w:t>Ibid</w:t>
      </w:r>
      <w:r w:rsidRPr="007D7ACC">
        <w:rPr>
          <w:rFonts w:ascii="Cambria" w:hAnsi="Cambria"/>
          <w:sz w:val="20"/>
          <w:szCs w:val="20"/>
        </w:rPr>
        <w:t xml:space="preserve">. </w:t>
      </w:r>
    </w:p>
  </w:footnote>
  <w:footnote w:id="16">
    <w:p w14:paraId="3CF5437F" w14:textId="77777777" w:rsidR="003A4507" w:rsidRPr="007D7ACC" w:rsidRDefault="003A4507" w:rsidP="003A4507">
      <w:pPr>
        <w:pStyle w:val="FootnoteText"/>
        <w:rPr>
          <w:rFonts w:ascii="Cambria" w:hAnsi="Cambria"/>
          <w:sz w:val="20"/>
          <w:szCs w:val="20"/>
        </w:rPr>
      </w:pPr>
      <w:r w:rsidRPr="007D7ACC">
        <w:rPr>
          <w:rStyle w:val="FootnoteReference"/>
          <w:rFonts w:ascii="Cambria" w:hAnsi="Cambria"/>
          <w:sz w:val="20"/>
          <w:szCs w:val="20"/>
        </w:rPr>
        <w:footnoteRef/>
      </w:r>
      <w:r w:rsidRPr="007D7ACC">
        <w:rPr>
          <w:rFonts w:ascii="Cambria" w:hAnsi="Cambria"/>
          <w:sz w:val="20"/>
          <w:szCs w:val="20"/>
        </w:rPr>
        <w:t xml:space="preserve"> </w:t>
      </w:r>
      <w:r w:rsidRPr="007D7ACC">
        <w:rPr>
          <w:rFonts w:ascii="Cambria" w:hAnsi="Cambria"/>
          <w:i/>
          <w:iCs/>
          <w:sz w:val="20"/>
          <w:szCs w:val="20"/>
        </w:rPr>
        <w:t>Jago v Anti-Discrimination Tribunal</w:t>
      </w:r>
      <w:r w:rsidRPr="007D7ACC">
        <w:rPr>
          <w:rFonts w:ascii="Cambria" w:hAnsi="Cambria"/>
          <w:sz w:val="20"/>
          <w:szCs w:val="20"/>
        </w:rPr>
        <w:t xml:space="preserve"> [2021] TASSC 10 at para. [1]-[2].  </w:t>
      </w:r>
    </w:p>
  </w:footnote>
  <w:footnote w:id="17">
    <w:p w14:paraId="282B2CFD" w14:textId="77777777" w:rsidR="003A4507" w:rsidRDefault="003A4507" w:rsidP="003A4507">
      <w:pPr>
        <w:pStyle w:val="FootnoteText"/>
      </w:pPr>
      <w:r w:rsidRPr="007D7ACC">
        <w:rPr>
          <w:rStyle w:val="FootnoteReference"/>
          <w:rFonts w:ascii="Cambria" w:hAnsi="Cambria"/>
          <w:sz w:val="20"/>
          <w:szCs w:val="20"/>
        </w:rPr>
        <w:footnoteRef/>
      </w:r>
      <w:r w:rsidRPr="007D7ACC">
        <w:rPr>
          <w:rFonts w:ascii="Cambria" w:hAnsi="Cambria"/>
          <w:sz w:val="20"/>
          <w:szCs w:val="20"/>
        </w:rPr>
        <w:t xml:space="preserve"> Parliament of Tasmania, </w:t>
      </w:r>
      <w:r w:rsidRPr="007D7ACC">
        <w:rPr>
          <w:rFonts w:ascii="Cambria" w:hAnsi="Cambria"/>
          <w:i/>
          <w:iCs/>
          <w:sz w:val="20"/>
          <w:szCs w:val="20"/>
        </w:rPr>
        <w:t>Hansard</w:t>
      </w:r>
      <w:r w:rsidRPr="007D7ACC">
        <w:rPr>
          <w:rFonts w:ascii="Cambria" w:hAnsi="Cambria"/>
          <w:sz w:val="20"/>
          <w:szCs w:val="20"/>
        </w:rPr>
        <w:t xml:space="preserve">, Tuesday 18 October 2022 (Elise Archer MP). </w:t>
      </w:r>
    </w:p>
  </w:footnote>
  <w:footnote w:id="18">
    <w:p w14:paraId="61EF3CD8" w14:textId="3A520727" w:rsidR="00F607A6" w:rsidRPr="00DD38AA" w:rsidRDefault="00F607A6" w:rsidP="00DD38AA">
      <w:pPr>
        <w:pStyle w:val="NoSpacing"/>
        <w:rPr>
          <w:rFonts w:ascii="Cambria" w:hAnsi="Cambria"/>
          <w:sz w:val="20"/>
          <w:szCs w:val="20"/>
        </w:rPr>
      </w:pPr>
      <w:r w:rsidRPr="00DD38AA">
        <w:rPr>
          <w:rStyle w:val="FootnoteReference"/>
          <w:rFonts w:ascii="Cambria" w:hAnsi="Cambria"/>
          <w:sz w:val="20"/>
          <w:szCs w:val="20"/>
        </w:rPr>
        <w:footnoteRef/>
      </w:r>
      <w:r w:rsidRPr="00DD38AA">
        <w:rPr>
          <w:rFonts w:ascii="Cambria" w:hAnsi="Cambria"/>
          <w:sz w:val="20"/>
          <w:szCs w:val="20"/>
        </w:rPr>
        <w:t xml:space="preserve"> Section 28(2)-(3) of the</w:t>
      </w:r>
      <w:r w:rsidRPr="00DD38AA">
        <w:rPr>
          <w:rFonts w:ascii="Cambria" w:hAnsi="Cambria"/>
          <w:sz w:val="20"/>
          <w:szCs w:val="20"/>
        </w:rPr>
        <w:t xml:space="preserve"> </w:t>
      </w:r>
      <w:r w:rsidRPr="00DD38AA">
        <w:rPr>
          <w:rFonts w:ascii="Cambria" w:hAnsi="Cambria"/>
          <w:i/>
          <w:iCs/>
          <w:sz w:val="20"/>
          <w:szCs w:val="20"/>
        </w:rPr>
        <w:t>Coroners Act 1995</w:t>
      </w:r>
      <w:r w:rsidRPr="00DD38AA">
        <w:rPr>
          <w:rFonts w:ascii="Cambria" w:hAnsi="Cambria"/>
          <w:sz w:val="20"/>
          <w:szCs w:val="20"/>
        </w:rPr>
        <w:t xml:space="preserve"> (Tas).</w:t>
      </w:r>
      <w:r w:rsidRPr="00DD38AA">
        <w:rPr>
          <w:rFonts w:ascii="Cambria" w:hAnsi="Cambria"/>
          <w:sz w:val="20"/>
          <w:szCs w:val="20"/>
        </w:rPr>
        <w:t xml:space="preserve"> </w:t>
      </w:r>
    </w:p>
  </w:footnote>
  <w:footnote w:id="19">
    <w:p w14:paraId="3CDFD631" w14:textId="1372B071" w:rsidR="00F607A6" w:rsidRPr="00DD38AA" w:rsidRDefault="00F607A6" w:rsidP="00DD38AA">
      <w:pPr>
        <w:pStyle w:val="NoSpacing"/>
        <w:rPr>
          <w:rFonts w:ascii="Cambria" w:hAnsi="Cambria"/>
          <w:sz w:val="20"/>
          <w:szCs w:val="20"/>
        </w:rPr>
      </w:pPr>
      <w:r w:rsidRPr="00DD38AA">
        <w:rPr>
          <w:rStyle w:val="FootnoteReference"/>
          <w:rFonts w:ascii="Cambria" w:hAnsi="Cambria"/>
          <w:sz w:val="20"/>
          <w:szCs w:val="20"/>
        </w:rPr>
        <w:footnoteRef/>
      </w:r>
      <w:r w:rsidRPr="00DD38AA">
        <w:rPr>
          <w:rFonts w:ascii="Cambria" w:hAnsi="Cambria"/>
          <w:sz w:val="20"/>
          <w:szCs w:val="20"/>
        </w:rPr>
        <w:t xml:space="preserve"> </w:t>
      </w:r>
      <w:r w:rsidRPr="00DD38AA">
        <w:rPr>
          <w:rFonts w:ascii="Cambria" w:hAnsi="Cambria"/>
          <w:sz w:val="20"/>
          <w:szCs w:val="20"/>
        </w:rPr>
        <w:t>Section</w:t>
      </w:r>
      <w:r w:rsidRPr="00DD38AA">
        <w:rPr>
          <w:rFonts w:ascii="Cambria" w:hAnsi="Cambria"/>
          <w:sz w:val="20"/>
          <w:szCs w:val="20"/>
        </w:rPr>
        <w:t xml:space="preserve"> 30(2)</w:t>
      </w:r>
      <w:r w:rsidRPr="00DD38AA">
        <w:rPr>
          <w:rFonts w:ascii="Cambria" w:hAnsi="Cambria"/>
          <w:sz w:val="20"/>
          <w:szCs w:val="20"/>
        </w:rPr>
        <w:t xml:space="preserve"> of the </w:t>
      </w:r>
      <w:r w:rsidRPr="00DD38AA">
        <w:rPr>
          <w:rFonts w:ascii="Cambria" w:hAnsi="Cambria"/>
          <w:i/>
          <w:iCs/>
          <w:sz w:val="20"/>
          <w:szCs w:val="20"/>
        </w:rPr>
        <w:t>Coroners Act 1995</w:t>
      </w:r>
      <w:r w:rsidRPr="00DD38AA">
        <w:rPr>
          <w:rFonts w:ascii="Cambria" w:hAnsi="Cambria"/>
          <w:sz w:val="20"/>
          <w:szCs w:val="20"/>
        </w:rPr>
        <w:t xml:space="preserve"> (Tas).</w:t>
      </w:r>
    </w:p>
  </w:footnote>
  <w:footnote w:id="20">
    <w:p w14:paraId="258EBDB6" w14:textId="77777777" w:rsidR="00F61DBF" w:rsidRPr="00DD38AA" w:rsidRDefault="00F61DBF" w:rsidP="00DD38AA">
      <w:pPr>
        <w:pStyle w:val="NoSpacing"/>
        <w:rPr>
          <w:rFonts w:ascii="Cambria" w:hAnsi="Cambria"/>
          <w:sz w:val="20"/>
          <w:szCs w:val="20"/>
        </w:rPr>
      </w:pPr>
      <w:r w:rsidRPr="00DD38AA">
        <w:rPr>
          <w:rStyle w:val="FootnoteReference"/>
          <w:rFonts w:ascii="Cambria" w:hAnsi="Cambria"/>
          <w:sz w:val="20"/>
          <w:szCs w:val="20"/>
        </w:rPr>
        <w:footnoteRef/>
      </w:r>
      <w:r w:rsidRPr="00DD38AA">
        <w:rPr>
          <w:rFonts w:ascii="Cambria" w:hAnsi="Cambria"/>
          <w:sz w:val="20"/>
          <w:szCs w:val="20"/>
        </w:rPr>
        <w:t xml:space="preserve"> Magistrates Court of Tasmania, </w:t>
      </w:r>
      <w:r w:rsidRPr="00DD38AA">
        <w:rPr>
          <w:rFonts w:ascii="Cambria" w:hAnsi="Cambria"/>
          <w:i/>
          <w:iCs/>
          <w:sz w:val="20"/>
          <w:szCs w:val="20"/>
        </w:rPr>
        <w:t>Tasmanian Coronial Practice Handbook</w:t>
      </w:r>
      <w:r w:rsidRPr="00DD38AA">
        <w:rPr>
          <w:rFonts w:ascii="Cambria" w:hAnsi="Cambria"/>
          <w:sz w:val="20"/>
          <w:szCs w:val="20"/>
        </w:rPr>
        <w:t xml:space="preserve"> (2016) at 100.</w:t>
      </w:r>
    </w:p>
  </w:footnote>
  <w:footnote w:id="21">
    <w:p w14:paraId="623BB2F4" w14:textId="1231CB61" w:rsidR="00FE3D72" w:rsidRPr="00DD38AA" w:rsidRDefault="00FE3D72" w:rsidP="00DD38AA">
      <w:pPr>
        <w:pStyle w:val="NoSpacing"/>
        <w:rPr>
          <w:rFonts w:cs="Segoe UI"/>
        </w:rPr>
      </w:pPr>
      <w:r w:rsidRPr="00DD38AA">
        <w:rPr>
          <w:rStyle w:val="FootnoteReference"/>
          <w:rFonts w:ascii="Cambria" w:hAnsi="Cambria"/>
          <w:sz w:val="20"/>
          <w:szCs w:val="20"/>
        </w:rPr>
        <w:footnoteRef/>
      </w:r>
      <w:r w:rsidRPr="00DD38AA">
        <w:rPr>
          <w:rFonts w:ascii="Cambria" w:hAnsi="Cambria"/>
          <w:sz w:val="20"/>
          <w:szCs w:val="20"/>
        </w:rPr>
        <w:t xml:space="preserve"> </w:t>
      </w:r>
      <w:r w:rsidRPr="00DD38AA">
        <w:rPr>
          <w:rFonts w:ascii="Cambria" w:hAnsi="Cambria"/>
          <w:sz w:val="20"/>
          <w:szCs w:val="20"/>
        </w:rPr>
        <w:t xml:space="preserve">Hugh Dillon, ‘SOS: Saving the Coronial System’ </w:t>
      </w:r>
      <w:r w:rsidRPr="00DD38AA">
        <w:rPr>
          <w:rFonts w:ascii="Cambria" w:hAnsi="Cambria"/>
          <w:i/>
          <w:iCs/>
          <w:sz w:val="20"/>
          <w:szCs w:val="20"/>
        </w:rPr>
        <w:t>Journal of the NSW Bar Association</w:t>
      </w:r>
      <w:r w:rsidRPr="00DD38AA">
        <w:rPr>
          <w:rFonts w:ascii="Cambria" w:hAnsi="Cambria"/>
          <w:sz w:val="20"/>
          <w:szCs w:val="20"/>
        </w:rPr>
        <w:t xml:space="preserve"> (2025) 43.</w:t>
      </w:r>
      <w:r w:rsidRPr="00DD38AA">
        <w:rPr>
          <w:rFonts w:ascii="Cambria" w:hAnsi="Cambria"/>
          <w:sz w:val="20"/>
          <w:szCs w:val="20"/>
        </w:rPr>
        <w:t xml:space="preserve"> As found in </w:t>
      </w:r>
      <w:r w:rsidR="00DD38AA" w:rsidRPr="00DD38AA">
        <w:rPr>
          <w:rFonts w:ascii="Cambria" w:hAnsi="Cambria" w:cs="Segoe UI"/>
          <w:sz w:val="20"/>
          <w:szCs w:val="20"/>
        </w:rPr>
        <w:t xml:space="preserve">Tasmania Law Reform Institute, </w:t>
      </w:r>
      <w:r w:rsidR="00DD38AA" w:rsidRPr="00DD38AA">
        <w:rPr>
          <w:rFonts w:ascii="Cambria" w:hAnsi="Cambria" w:cs="Segoe UI"/>
          <w:i/>
          <w:iCs/>
          <w:sz w:val="20"/>
          <w:szCs w:val="20"/>
        </w:rPr>
        <w:t>Review of the Coroners Act 1995 (Tas)</w:t>
      </w:r>
      <w:r w:rsidR="00DD38AA" w:rsidRPr="00DD38AA">
        <w:rPr>
          <w:rFonts w:ascii="Cambria" w:hAnsi="Cambria" w:cs="Segoe UI"/>
          <w:sz w:val="20"/>
          <w:szCs w:val="20"/>
        </w:rPr>
        <w:t xml:space="preserve"> (Issues Paper No 33</w:t>
      </w:r>
      <w:r w:rsidR="00DD38AA" w:rsidRPr="00DD38AA">
        <w:rPr>
          <w:rFonts w:ascii="Cambria" w:hAnsi="Cambria" w:cs="Segoe UI"/>
          <w:sz w:val="20"/>
          <w:szCs w:val="20"/>
        </w:rPr>
        <w:t xml:space="preserve">: </w:t>
      </w:r>
      <w:r w:rsidR="00DD38AA" w:rsidRPr="00DD38AA">
        <w:rPr>
          <w:rFonts w:ascii="Cambria" w:hAnsi="Cambria" w:cs="Segoe UI"/>
          <w:sz w:val="20"/>
          <w:szCs w:val="20"/>
        </w:rPr>
        <w:t>April 2026)</w:t>
      </w:r>
      <w:r w:rsidR="00DD38AA" w:rsidRPr="00DD38AA">
        <w:rPr>
          <w:rFonts w:ascii="Cambria" w:hAnsi="Cambria" w:cs="Segoe UI"/>
          <w:sz w:val="20"/>
          <w:szCs w:val="20"/>
        </w:rPr>
        <w:t xml:space="preserve"> at 223.</w:t>
      </w:r>
      <w:r w:rsidR="00DD38AA" w:rsidRPr="00DD38AA">
        <w:rPr>
          <w:rFonts w:cs="Segoe UI"/>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F33A3A"/>
    <w:multiLevelType w:val="hybridMultilevel"/>
    <w:tmpl w:val="2BFCAE20"/>
    <w:lvl w:ilvl="0" w:tplc="F2A8C264">
      <w:start w:val="2"/>
      <w:numFmt w:val="bullet"/>
      <w:lvlText w:val="-"/>
      <w:lvlJc w:val="left"/>
      <w:pPr>
        <w:ind w:left="720" w:hanging="360"/>
      </w:pPr>
      <w:rPr>
        <w:rFonts w:ascii="Cambria" w:eastAsia="Times New Roman" w:hAnsi="Cambri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5CA6A57"/>
    <w:multiLevelType w:val="hybridMultilevel"/>
    <w:tmpl w:val="25DCD8B2"/>
    <w:lvl w:ilvl="0" w:tplc="67C6901C">
      <w:numFmt w:val="bullet"/>
      <w:lvlText w:val="-"/>
      <w:lvlJc w:val="left"/>
      <w:pPr>
        <w:ind w:left="720" w:hanging="360"/>
      </w:pPr>
      <w:rPr>
        <w:rFonts w:ascii="Cambria" w:eastAsia="Times New Roman" w:hAnsi="Cambri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B7E2251"/>
    <w:multiLevelType w:val="hybridMultilevel"/>
    <w:tmpl w:val="F31ADB5A"/>
    <w:lvl w:ilvl="0" w:tplc="DABE5D8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428679F"/>
    <w:multiLevelType w:val="hybridMultilevel"/>
    <w:tmpl w:val="55040ACE"/>
    <w:lvl w:ilvl="0" w:tplc="3B78E48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121979">
    <w:abstractNumId w:val="1"/>
  </w:num>
  <w:num w:numId="2" w16cid:durableId="2129274812">
    <w:abstractNumId w:val="3"/>
  </w:num>
  <w:num w:numId="3" w16cid:durableId="1001471045">
    <w:abstractNumId w:val="2"/>
  </w:num>
  <w:num w:numId="4" w16cid:durableId="15710376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318"/>
    <w:rsid w:val="00002FFE"/>
    <w:rsid w:val="00024572"/>
    <w:rsid w:val="00034951"/>
    <w:rsid w:val="00045E51"/>
    <w:rsid w:val="00055B24"/>
    <w:rsid w:val="00067844"/>
    <w:rsid w:val="00072270"/>
    <w:rsid w:val="00086A62"/>
    <w:rsid w:val="000A08E6"/>
    <w:rsid w:val="000A3750"/>
    <w:rsid w:val="000A5F14"/>
    <w:rsid w:val="000B4279"/>
    <w:rsid w:val="000D500E"/>
    <w:rsid w:val="000E4CF0"/>
    <w:rsid w:val="000F5E96"/>
    <w:rsid w:val="00113414"/>
    <w:rsid w:val="00123318"/>
    <w:rsid w:val="00163F45"/>
    <w:rsid w:val="001759BA"/>
    <w:rsid w:val="0018177D"/>
    <w:rsid w:val="00194A9E"/>
    <w:rsid w:val="001A2B7A"/>
    <w:rsid w:val="001B3B41"/>
    <w:rsid w:val="00204B71"/>
    <w:rsid w:val="0021366E"/>
    <w:rsid w:val="00215FCE"/>
    <w:rsid w:val="00223F5C"/>
    <w:rsid w:val="0022744D"/>
    <w:rsid w:val="002303D3"/>
    <w:rsid w:val="0025245D"/>
    <w:rsid w:val="0025283D"/>
    <w:rsid w:val="0029120A"/>
    <w:rsid w:val="002F5DC9"/>
    <w:rsid w:val="00303FDC"/>
    <w:rsid w:val="00312437"/>
    <w:rsid w:val="0032317C"/>
    <w:rsid w:val="00356770"/>
    <w:rsid w:val="0036520C"/>
    <w:rsid w:val="0037170F"/>
    <w:rsid w:val="003A4507"/>
    <w:rsid w:val="003B062F"/>
    <w:rsid w:val="003B7424"/>
    <w:rsid w:val="003D0C8F"/>
    <w:rsid w:val="003D290B"/>
    <w:rsid w:val="003D3A55"/>
    <w:rsid w:val="0040709C"/>
    <w:rsid w:val="0042170D"/>
    <w:rsid w:val="00423BE8"/>
    <w:rsid w:val="00434004"/>
    <w:rsid w:val="004351C4"/>
    <w:rsid w:val="004446FD"/>
    <w:rsid w:val="00445824"/>
    <w:rsid w:val="00447A98"/>
    <w:rsid w:val="00451427"/>
    <w:rsid w:val="0047746F"/>
    <w:rsid w:val="004A1C9E"/>
    <w:rsid w:val="004B39CB"/>
    <w:rsid w:val="004C6153"/>
    <w:rsid w:val="004D3BF4"/>
    <w:rsid w:val="004F7590"/>
    <w:rsid w:val="0053084E"/>
    <w:rsid w:val="005427B9"/>
    <w:rsid w:val="00545C3E"/>
    <w:rsid w:val="00546D93"/>
    <w:rsid w:val="00567A49"/>
    <w:rsid w:val="005A48D3"/>
    <w:rsid w:val="005A770F"/>
    <w:rsid w:val="005C66ED"/>
    <w:rsid w:val="00610B59"/>
    <w:rsid w:val="00611C15"/>
    <w:rsid w:val="00620557"/>
    <w:rsid w:val="00625993"/>
    <w:rsid w:val="006324E7"/>
    <w:rsid w:val="0066411D"/>
    <w:rsid w:val="006749F5"/>
    <w:rsid w:val="00681752"/>
    <w:rsid w:val="0068517A"/>
    <w:rsid w:val="006C2FD7"/>
    <w:rsid w:val="006E074C"/>
    <w:rsid w:val="006E45E1"/>
    <w:rsid w:val="0071043B"/>
    <w:rsid w:val="00723059"/>
    <w:rsid w:val="00732D2B"/>
    <w:rsid w:val="00732DAB"/>
    <w:rsid w:val="00766F00"/>
    <w:rsid w:val="0077390C"/>
    <w:rsid w:val="007D7ACC"/>
    <w:rsid w:val="007E7D15"/>
    <w:rsid w:val="0082539D"/>
    <w:rsid w:val="008447E8"/>
    <w:rsid w:val="008A038B"/>
    <w:rsid w:val="008B5EEF"/>
    <w:rsid w:val="008D29DF"/>
    <w:rsid w:val="008E21EE"/>
    <w:rsid w:val="00903042"/>
    <w:rsid w:val="009278A8"/>
    <w:rsid w:val="00930237"/>
    <w:rsid w:val="009549B5"/>
    <w:rsid w:val="00997011"/>
    <w:rsid w:val="009A14AC"/>
    <w:rsid w:val="009B4A59"/>
    <w:rsid w:val="009B4D72"/>
    <w:rsid w:val="009C099C"/>
    <w:rsid w:val="009D0F22"/>
    <w:rsid w:val="009D22C2"/>
    <w:rsid w:val="00A03CD5"/>
    <w:rsid w:val="00A359EC"/>
    <w:rsid w:val="00A37278"/>
    <w:rsid w:val="00A71190"/>
    <w:rsid w:val="00A870A2"/>
    <w:rsid w:val="00B201D1"/>
    <w:rsid w:val="00B24258"/>
    <w:rsid w:val="00B3753E"/>
    <w:rsid w:val="00B6039D"/>
    <w:rsid w:val="00B6105F"/>
    <w:rsid w:val="00BD23B5"/>
    <w:rsid w:val="00BD4F2C"/>
    <w:rsid w:val="00BF0F16"/>
    <w:rsid w:val="00C0329E"/>
    <w:rsid w:val="00C12C27"/>
    <w:rsid w:val="00C267AC"/>
    <w:rsid w:val="00C556BF"/>
    <w:rsid w:val="00C60774"/>
    <w:rsid w:val="00C75AEF"/>
    <w:rsid w:val="00C83509"/>
    <w:rsid w:val="00CA1C0B"/>
    <w:rsid w:val="00CC1817"/>
    <w:rsid w:val="00CD1AA7"/>
    <w:rsid w:val="00CD2BA0"/>
    <w:rsid w:val="00CD5479"/>
    <w:rsid w:val="00CE11A7"/>
    <w:rsid w:val="00D26998"/>
    <w:rsid w:val="00D429C9"/>
    <w:rsid w:val="00D619A3"/>
    <w:rsid w:val="00D70FF6"/>
    <w:rsid w:val="00D87029"/>
    <w:rsid w:val="00DA619C"/>
    <w:rsid w:val="00DC6A37"/>
    <w:rsid w:val="00DD38AA"/>
    <w:rsid w:val="00DE7BD0"/>
    <w:rsid w:val="00DF63E8"/>
    <w:rsid w:val="00E00C6F"/>
    <w:rsid w:val="00E81213"/>
    <w:rsid w:val="00EA2928"/>
    <w:rsid w:val="00EB5A77"/>
    <w:rsid w:val="00EC3E05"/>
    <w:rsid w:val="00EF4ABD"/>
    <w:rsid w:val="00F00DB2"/>
    <w:rsid w:val="00F02943"/>
    <w:rsid w:val="00F607A6"/>
    <w:rsid w:val="00F61DBF"/>
    <w:rsid w:val="00F91A1B"/>
    <w:rsid w:val="00FA6E50"/>
    <w:rsid w:val="00FE3D7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DC8CA"/>
  <w15:chartTrackingRefBased/>
  <w15:docId w15:val="{A8D98B1F-DEA3-D941-9AC6-0381C55C8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331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2331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2331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2331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unhideWhenUsed/>
    <w:qFormat/>
    <w:rsid w:val="0012331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2331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331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331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331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331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2331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2331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2331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rsid w:val="0012331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2331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331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331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3318"/>
    <w:rPr>
      <w:rFonts w:eastAsiaTheme="majorEastAsia" w:cstheme="majorBidi"/>
      <w:color w:val="272727" w:themeColor="text1" w:themeTint="D8"/>
    </w:rPr>
  </w:style>
  <w:style w:type="paragraph" w:styleId="Title">
    <w:name w:val="Title"/>
    <w:basedOn w:val="Normal"/>
    <w:next w:val="Normal"/>
    <w:link w:val="TitleChar"/>
    <w:uiPriority w:val="10"/>
    <w:qFormat/>
    <w:rsid w:val="0012331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331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331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331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331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23318"/>
    <w:rPr>
      <w:i/>
      <w:iCs/>
      <w:color w:val="404040" w:themeColor="text1" w:themeTint="BF"/>
    </w:rPr>
  </w:style>
  <w:style w:type="paragraph" w:styleId="ListParagraph">
    <w:name w:val="List Paragraph"/>
    <w:basedOn w:val="Normal"/>
    <w:uiPriority w:val="34"/>
    <w:qFormat/>
    <w:rsid w:val="00123318"/>
    <w:pPr>
      <w:ind w:left="720"/>
      <w:contextualSpacing/>
    </w:pPr>
  </w:style>
  <w:style w:type="character" w:styleId="IntenseEmphasis">
    <w:name w:val="Intense Emphasis"/>
    <w:basedOn w:val="DefaultParagraphFont"/>
    <w:uiPriority w:val="21"/>
    <w:qFormat/>
    <w:rsid w:val="00123318"/>
    <w:rPr>
      <w:i/>
      <w:iCs/>
      <w:color w:val="2F5496" w:themeColor="accent1" w:themeShade="BF"/>
    </w:rPr>
  </w:style>
  <w:style w:type="paragraph" w:styleId="IntenseQuote">
    <w:name w:val="Intense Quote"/>
    <w:basedOn w:val="Normal"/>
    <w:next w:val="Normal"/>
    <w:link w:val="IntenseQuoteChar"/>
    <w:uiPriority w:val="30"/>
    <w:qFormat/>
    <w:rsid w:val="0012331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23318"/>
    <w:rPr>
      <w:i/>
      <w:iCs/>
      <w:color w:val="2F5496" w:themeColor="accent1" w:themeShade="BF"/>
    </w:rPr>
  </w:style>
  <w:style w:type="character" w:styleId="IntenseReference">
    <w:name w:val="Intense Reference"/>
    <w:basedOn w:val="DefaultParagraphFont"/>
    <w:uiPriority w:val="32"/>
    <w:qFormat/>
    <w:rsid w:val="00123318"/>
    <w:rPr>
      <w:b/>
      <w:bCs/>
      <w:smallCaps/>
      <w:color w:val="2F5496" w:themeColor="accent1" w:themeShade="BF"/>
      <w:spacing w:val="5"/>
    </w:rPr>
  </w:style>
  <w:style w:type="character" w:styleId="Hyperlink">
    <w:name w:val="Hyperlink"/>
    <w:basedOn w:val="DefaultParagraphFont"/>
    <w:uiPriority w:val="99"/>
    <w:unhideWhenUsed/>
    <w:rsid w:val="003D3A55"/>
    <w:rPr>
      <w:color w:val="0563C1" w:themeColor="hyperlink"/>
      <w:u w:val="single"/>
    </w:rPr>
  </w:style>
  <w:style w:type="paragraph" w:styleId="FootnoteText">
    <w:name w:val="footnote text"/>
    <w:aliases w:val="Footnote,Text,Footnote Text Char Char Char Char Char Char Char,Footnote Text Char Char Char Char Char Char,Footnote Text Char Char Char Char Char Char Char Char Char Char Char Char Char Char Char Char Char,single space Char,single space"/>
    <w:basedOn w:val="Normal"/>
    <w:link w:val="FootnoteTextChar"/>
    <w:uiPriority w:val="99"/>
    <w:unhideWhenUsed/>
    <w:rsid w:val="003D3A55"/>
    <w:rPr>
      <w:rFonts w:ascii="Times New Roman" w:eastAsia="Times New Roman" w:hAnsi="Times New Roman" w:cs="Times New Roman"/>
      <w:kern w:val="0"/>
      <w:lang w:eastAsia="en-GB"/>
      <w14:ligatures w14:val="none"/>
    </w:rPr>
  </w:style>
  <w:style w:type="character" w:customStyle="1" w:styleId="FootnoteTextChar">
    <w:name w:val="Footnote Text Char"/>
    <w:aliases w:val="Footnote Char,Text Char,Footnote Text Char Char Char Char Char Char Char Char,Footnote Text Char Char Char Char Char Char Char1,Footnote Text Char Char Char Char Char Char Char Char Char Char Char Char Char Char Char Char Char Char"/>
    <w:basedOn w:val="DefaultParagraphFont"/>
    <w:link w:val="FootnoteText"/>
    <w:uiPriority w:val="99"/>
    <w:rsid w:val="003D3A55"/>
    <w:rPr>
      <w:rFonts w:ascii="Times New Roman" w:eastAsia="Times New Roman" w:hAnsi="Times New Roman" w:cs="Times New Roman"/>
      <w:kern w:val="0"/>
      <w:lang w:eastAsia="en-GB"/>
      <w14:ligatures w14:val="none"/>
    </w:rPr>
  </w:style>
  <w:style w:type="character" w:styleId="FootnoteReference">
    <w:name w:val="footnote reference"/>
    <w:aliases w:val="Footnotes refss,Ref,de nota al pie"/>
    <w:basedOn w:val="DefaultParagraphFont"/>
    <w:uiPriority w:val="99"/>
    <w:unhideWhenUsed/>
    <w:qFormat/>
    <w:rsid w:val="003D3A55"/>
    <w:rPr>
      <w:vertAlign w:val="superscript"/>
    </w:rPr>
  </w:style>
  <w:style w:type="paragraph" w:styleId="NoSpacing">
    <w:name w:val="No Spacing"/>
    <w:uiPriority w:val="1"/>
    <w:qFormat/>
    <w:rsid w:val="003D3A55"/>
    <w:rPr>
      <w:rFonts w:ascii="Times New Roman" w:eastAsia="Times New Roman" w:hAnsi="Times New Roman" w:cs="Times New Roman"/>
      <w:kern w:val="0"/>
      <w:lang w:eastAsia="en-GB"/>
      <w14:ligatures w14:val="none"/>
    </w:rPr>
  </w:style>
  <w:style w:type="paragraph" w:styleId="NormalWeb">
    <w:name w:val="Normal (Web)"/>
    <w:basedOn w:val="Normal"/>
    <w:uiPriority w:val="99"/>
    <w:unhideWhenUsed/>
    <w:rsid w:val="003D3A55"/>
    <w:pPr>
      <w:spacing w:before="100" w:beforeAutospacing="1" w:after="100" w:afterAutospacing="1"/>
    </w:pPr>
    <w:rPr>
      <w:rFonts w:ascii="Times New Roman" w:eastAsia="Times New Roman" w:hAnsi="Times New Roman" w:cs="Times New Roman"/>
      <w:kern w:val="0"/>
      <w:lang w:eastAsia="en-GB"/>
      <w14:ligatures w14:val="none"/>
    </w:rPr>
  </w:style>
  <w:style w:type="character" w:styleId="Emphasis">
    <w:name w:val="Emphasis"/>
    <w:basedOn w:val="DefaultParagraphFont"/>
    <w:uiPriority w:val="20"/>
    <w:qFormat/>
    <w:rsid w:val="003D3A55"/>
    <w:rPr>
      <w:i/>
      <w:iCs/>
    </w:rPr>
  </w:style>
  <w:style w:type="character" w:styleId="UnresolvedMention">
    <w:name w:val="Unresolved Mention"/>
    <w:basedOn w:val="DefaultParagraphFont"/>
    <w:uiPriority w:val="99"/>
    <w:semiHidden/>
    <w:unhideWhenUsed/>
    <w:rsid w:val="00625993"/>
    <w:rPr>
      <w:color w:val="605E5C"/>
      <w:shd w:val="clear" w:color="auto" w:fill="E1DFDD"/>
    </w:rPr>
  </w:style>
  <w:style w:type="paragraph" w:customStyle="1" w:styleId="headingparagraph">
    <w:name w:val="headingparagraph"/>
    <w:basedOn w:val="Normal"/>
    <w:rsid w:val="00312437"/>
    <w:pPr>
      <w:spacing w:before="100" w:beforeAutospacing="1" w:after="100" w:afterAutospacing="1"/>
    </w:pPr>
    <w:rPr>
      <w:rFonts w:ascii="Times New Roman" w:eastAsia="Times New Roman" w:hAnsi="Times New Roman" w:cs="Times New Roman"/>
      <w:kern w:val="0"/>
      <w:lang w:eastAsia="en-GB"/>
      <w14:ligatures w14:val="none"/>
    </w:rPr>
  </w:style>
  <w:style w:type="paragraph" w:customStyle="1" w:styleId="dcr-1s160rg">
    <w:name w:val="dcr-1s160rg"/>
    <w:basedOn w:val="Normal"/>
    <w:rsid w:val="0053084E"/>
    <w:pPr>
      <w:spacing w:before="100" w:beforeAutospacing="1" w:after="100" w:afterAutospacing="1"/>
    </w:pPr>
    <w:rPr>
      <w:rFonts w:ascii="Times New Roman" w:eastAsia="Times New Roman" w:hAnsi="Times New Roman" w:cs="Times New Roman"/>
      <w:kern w:val="0"/>
      <w:lang w:eastAsia="en-GB"/>
      <w14:ligatures w14:val="none"/>
    </w:rPr>
  </w:style>
  <w:style w:type="paragraph" w:styleId="Footer">
    <w:name w:val="footer"/>
    <w:basedOn w:val="Normal"/>
    <w:link w:val="FooterChar"/>
    <w:uiPriority w:val="99"/>
    <w:unhideWhenUsed/>
    <w:rsid w:val="00A37278"/>
    <w:pPr>
      <w:tabs>
        <w:tab w:val="center" w:pos="4513"/>
        <w:tab w:val="right" w:pos="9026"/>
      </w:tabs>
    </w:pPr>
  </w:style>
  <w:style w:type="character" w:customStyle="1" w:styleId="FooterChar">
    <w:name w:val="Footer Char"/>
    <w:basedOn w:val="DefaultParagraphFont"/>
    <w:link w:val="Footer"/>
    <w:uiPriority w:val="99"/>
    <w:rsid w:val="00A37278"/>
  </w:style>
  <w:style w:type="character" w:styleId="PageNumber">
    <w:name w:val="page number"/>
    <w:basedOn w:val="DefaultParagraphFont"/>
    <w:uiPriority w:val="99"/>
    <w:semiHidden/>
    <w:unhideWhenUsed/>
    <w:rsid w:val="00A37278"/>
  </w:style>
  <w:style w:type="character" w:customStyle="1" w:styleId="frag-no">
    <w:name w:val="frag-no"/>
    <w:basedOn w:val="DefaultParagraphFont"/>
    <w:rsid w:val="002F5DC9"/>
  </w:style>
  <w:style w:type="character" w:customStyle="1" w:styleId="frag-heading">
    <w:name w:val="frag-heading"/>
    <w:basedOn w:val="DefaultParagraphFont"/>
    <w:rsid w:val="002F5DC9"/>
  </w:style>
  <w:style w:type="character" w:customStyle="1" w:styleId="frag-defterm">
    <w:name w:val="frag-defterm"/>
    <w:basedOn w:val="DefaultParagraphFont"/>
    <w:rsid w:val="002F5DC9"/>
  </w:style>
  <w:style w:type="character" w:customStyle="1" w:styleId="listnumber">
    <w:name w:val="listnumber"/>
    <w:basedOn w:val="DefaultParagraphFont"/>
    <w:rsid w:val="002F5DC9"/>
  </w:style>
  <w:style w:type="paragraph" w:customStyle="1" w:styleId="note">
    <w:name w:val="note"/>
    <w:basedOn w:val="Normal"/>
    <w:rsid w:val="002F5DC9"/>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noteheadingname">
    <w:name w:val="noteheadingname"/>
    <w:basedOn w:val="DefaultParagraphFont"/>
    <w:rsid w:val="002F5DC9"/>
  </w:style>
  <w:style w:type="character" w:customStyle="1" w:styleId="ssleftalign">
    <w:name w:val="ss_leftalign"/>
    <w:basedOn w:val="DefaultParagraphFont"/>
    <w:rsid w:val="00681752"/>
  </w:style>
  <w:style w:type="character" w:customStyle="1" w:styleId="sssh">
    <w:name w:val="ss_sh"/>
    <w:basedOn w:val="DefaultParagraphFont"/>
    <w:rsid w:val="0032317C"/>
  </w:style>
  <w:style w:type="character" w:customStyle="1" w:styleId="ssro">
    <w:name w:val="ss_ro"/>
    <w:basedOn w:val="DefaultParagraphFont"/>
    <w:rsid w:val="0032317C"/>
  </w:style>
  <w:style w:type="character" w:customStyle="1" w:styleId="ssbf">
    <w:name w:val="ss_bf"/>
    <w:basedOn w:val="DefaultParagraphFont"/>
    <w:rsid w:val="0032317C"/>
  </w:style>
  <w:style w:type="character" w:customStyle="1" w:styleId="ssit">
    <w:name w:val="ss_it"/>
    <w:basedOn w:val="DefaultParagraphFont"/>
    <w:rsid w:val="0066411D"/>
  </w:style>
  <w:style w:type="paragraph" w:customStyle="1" w:styleId="p1">
    <w:name w:val="p1"/>
    <w:basedOn w:val="Normal"/>
    <w:rsid w:val="00BF0F16"/>
    <w:rPr>
      <w:rFonts w:ascii="Helvetica" w:eastAsia="Times New Roman" w:hAnsi="Helvetica" w:cs="Times New Roman"/>
      <w:color w:val="141413"/>
      <w:kern w:val="0"/>
      <w:sz w:val="15"/>
      <w:szCs w:val="15"/>
      <w:lang w:eastAsia="en-GB"/>
      <w14:ligatures w14:val="none"/>
    </w:rPr>
  </w:style>
  <w:style w:type="character" w:customStyle="1" w:styleId="s1">
    <w:name w:val="s1"/>
    <w:basedOn w:val="DefaultParagraphFont"/>
    <w:rsid w:val="00BF0F16"/>
    <w:rPr>
      <w:rFonts w:ascii="Helvetica" w:hAnsi="Helvetica" w:hint="default"/>
      <w:sz w:val="9"/>
      <w:szCs w:val="9"/>
    </w:rPr>
  </w:style>
  <w:style w:type="paragraph" w:customStyle="1" w:styleId="p2">
    <w:name w:val="p2"/>
    <w:basedOn w:val="Normal"/>
    <w:rsid w:val="00903042"/>
    <w:rPr>
      <w:rFonts w:ascii="Helvetica" w:eastAsia="Times New Roman" w:hAnsi="Helvetica" w:cs="Times New Roman"/>
      <w:color w:val="141413"/>
      <w:kern w:val="0"/>
      <w:sz w:val="15"/>
      <w:szCs w:val="15"/>
      <w:lang w:eastAsia="en-GB"/>
      <w14:ligatures w14:val="none"/>
    </w:rPr>
  </w:style>
  <w:style w:type="paragraph" w:customStyle="1" w:styleId="text">
    <w:name w:val="text"/>
    <w:basedOn w:val="Normal"/>
    <w:rsid w:val="0047746F"/>
    <w:pPr>
      <w:spacing w:before="100" w:beforeAutospacing="1" w:after="100" w:afterAutospacing="1"/>
    </w:pPr>
    <w:rPr>
      <w:rFonts w:ascii="Times New Roman" w:eastAsia="Times New Roman" w:hAnsi="Times New Roman" w:cs="Times New Roman"/>
      <w:kern w:val="0"/>
      <w:lang w:eastAsia="en-GB"/>
      <w14:ligatures w14:val="none"/>
    </w:rPr>
  </w:style>
  <w:style w:type="character" w:styleId="HTMLDefinition">
    <w:name w:val="HTML Definition"/>
    <w:basedOn w:val="DefaultParagraphFont"/>
    <w:uiPriority w:val="99"/>
    <w:semiHidden/>
    <w:unhideWhenUsed/>
    <w:rsid w:val="0047746F"/>
    <w:rPr>
      <w:i/>
      <w:iCs/>
    </w:rPr>
  </w:style>
  <w:style w:type="character" w:customStyle="1" w:styleId="label">
    <w:name w:val="label"/>
    <w:basedOn w:val="DefaultParagraphFont"/>
    <w:rsid w:val="004774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hyperlink" Target="mailto:law.reform@utas.edu.au"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justice.vic.gov.au/justice-system/courts-and-tribunals/review-into-the-appropriate-and-responsive-care-of-deaths-in" TargetMode="External"/><Relationship Id="rId2" Type="http://schemas.openxmlformats.org/officeDocument/2006/relationships/hyperlink" Target="https://www.justice.vic.gov.au/justice-system/courts-and-tribunals/review-into-the-appropriate-and-responsive-care-of-deaths-in" TargetMode="External"/><Relationship Id="rId1" Type="http://schemas.openxmlformats.org/officeDocument/2006/relationships/hyperlink" Target="https://www.abs.gov.au/articles/religious-affiliation-australia" TargetMode="External"/><Relationship Id="rId4" Type="http://schemas.openxmlformats.org/officeDocument/2006/relationships/hyperlink" Target="https://www.theguardian.com/commentisfree/2015/nov/13/with-a-marriage-certificate-ben-jago-could-have-laid-his-partner-to-rest-without-it-he-was-a-stranger"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Book2"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b="1"/>
              <a:t>Change in Religious</a:t>
            </a:r>
            <a:r>
              <a:rPr lang="en-GB" b="1" baseline="0"/>
              <a:t> affiliation 2016/21</a:t>
            </a:r>
            <a:endParaRPr lang="en-GB"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barChart>
        <c:barDir val="bar"/>
        <c:grouping val="clustered"/>
        <c:varyColors val="0"/>
        <c:ser>
          <c:idx val="0"/>
          <c:order val="0"/>
          <c:spPr>
            <a:solidFill>
              <a:schemeClr val="accent1"/>
            </a:solidFill>
            <a:ln>
              <a:noFill/>
            </a:ln>
            <a:effectLst/>
          </c:spPr>
          <c:invertIfNegative val="0"/>
          <c:dPt>
            <c:idx val="1"/>
            <c:invertIfNegative val="0"/>
            <c:bubble3D val="0"/>
            <c:spPr>
              <a:solidFill>
                <a:srgbClr val="C00000"/>
              </a:solidFill>
              <a:ln>
                <a:noFill/>
              </a:ln>
              <a:effectLst/>
            </c:spPr>
            <c:extLst>
              <c:ext xmlns:c16="http://schemas.microsoft.com/office/drawing/2014/chart" uri="{C3380CC4-5D6E-409C-BE32-E72D297353CC}">
                <c16:uniqueId val="{00000001-FC33-C94C-AEAE-7DB228B6348C}"/>
              </c:ext>
            </c:extLst>
          </c:dPt>
          <c:cat>
            <c:strRef>
              <c:f>Sheet1!$B$19:$G$19</c:f>
              <c:strCache>
                <c:ptCount val="6"/>
                <c:pt idx="0">
                  <c:v>Buddhism</c:v>
                </c:pt>
                <c:pt idx="1">
                  <c:v>Christianity </c:v>
                </c:pt>
                <c:pt idx="2">
                  <c:v>Hinduism</c:v>
                </c:pt>
                <c:pt idx="3">
                  <c:v>Islam</c:v>
                </c:pt>
                <c:pt idx="4">
                  <c:v>Judaism</c:v>
                </c:pt>
                <c:pt idx="5">
                  <c:v>Other religions</c:v>
                </c:pt>
              </c:strCache>
            </c:strRef>
          </c:cat>
          <c:val>
            <c:numRef>
              <c:f>Sheet1!$B$20:$G$20</c:f>
              <c:numCache>
                <c:formatCode>0.00%</c:formatCode>
                <c:ptCount val="6"/>
                <c:pt idx="0" formatCode="0%">
                  <c:v>0.25</c:v>
                </c:pt>
                <c:pt idx="1">
                  <c:v>-0.156</c:v>
                </c:pt>
                <c:pt idx="2" formatCode="0%">
                  <c:v>2.81</c:v>
                </c:pt>
                <c:pt idx="3" formatCode="0%">
                  <c:v>0.98</c:v>
                </c:pt>
                <c:pt idx="4">
                  <c:v>0.51600000000000001</c:v>
                </c:pt>
                <c:pt idx="5">
                  <c:v>0.85299999999999998</c:v>
                </c:pt>
              </c:numCache>
            </c:numRef>
          </c:val>
          <c:extLst>
            <c:ext xmlns:c16="http://schemas.microsoft.com/office/drawing/2014/chart" uri="{C3380CC4-5D6E-409C-BE32-E72D297353CC}">
              <c16:uniqueId val="{00000002-FC33-C94C-AEAE-7DB228B6348C}"/>
            </c:ext>
          </c:extLst>
        </c:ser>
        <c:dLbls>
          <c:showLegendKey val="0"/>
          <c:showVal val="0"/>
          <c:showCatName val="0"/>
          <c:showSerName val="0"/>
          <c:showPercent val="0"/>
          <c:showBubbleSize val="0"/>
        </c:dLbls>
        <c:gapWidth val="182"/>
        <c:axId val="710757952"/>
        <c:axId val="710928064"/>
      </c:barChart>
      <c:catAx>
        <c:axId val="7107579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10928064"/>
        <c:crosses val="autoZero"/>
        <c:auto val="1"/>
        <c:lblAlgn val="ctr"/>
        <c:lblOffset val="100"/>
        <c:noMultiLvlLbl val="0"/>
      </c:catAx>
      <c:valAx>
        <c:axId val="710928064"/>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107579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7ADB38-177E-2643-B709-317C2206E4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857</TotalTime>
  <Pages>6</Pages>
  <Words>2160</Words>
  <Characters>12316</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Benedict Bartl</dc:creator>
  <cp:keywords/>
  <dc:description/>
  <cp:lastModifiedBy>Benedict Bartl</cp:lastModifiedBy>
  <cp:revision>55</cp:revision>
  <cp:lastPrinted>2026-07-19T19:10:00Z</cp:lastPrinted>
  <dcterms:created xsi:type="dcterms:W3CDTF">2026-07-01T00:52:00Z</dcterms:created>
  <dcterms:modified xsi:type="dcterms:W3CDTF">2026-07-20T19:29:00Z</dcterms:modified>
</cp:coreProperties>
</file>