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E776" w14:textId="4C93CB5C" w:rsidR="001F125A" w:rsidRDefault="001F125A" w:rsidP="001F125A">
      <w:pPr>
        <w:pStyle w:val="NoSpacing"/>
        <w:jc w:val="center"/>
        <w:rPr>
          <w:rFonts w:ascii="Cambria" w:hAnsi="Cambria"/>
          <w:sz w:val="24"/>
          <w:szCs w:val="24"/>
        </w:rPr>
      </w:pPr>
      <w:r w:rsidRPr="00BC0D6B">
        <w:rPr>
          <w:noProof/>
          <w:sz w:val="20"/>
          <w:szCs w:val="20"/>
        </w:rPr>
        <w:drawing>
          <wp:inline distT="0" distB="0" distL="0" distR="0" wp14:anchorId="5ED21CC2" wp14:editId="72C9F30A">
            <wp:extent cx="2848455" cy="967815"/>
            <wp:effectExtent l="0" t="0" r="0" b="0"/>
            <wp:docPr id="5" name="Picture 1" descr="Shared Docs:Public:Sister Organisations:CLC Tas:CLCLogos:CLCTa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 Docs:Public:Sister Organisations:CLC Tas:CLCLogos:CLCTas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9556" cy="985177"/>
                    </a:xfrm>
                    <a:prstGeom prst="rect">
                      <a:avLst/>
                    </a:prstGeom>
                    <a:noFill/>
                    <a:ln>
                      <a:noFill/>
                    </a:ln>
                  </pic:spPr>
                </pic:pic>
              </a:graphicData>
            </a:graphic>
          </wp:inline>
        </w:drawing>
      </w:r>
    </w:p>
    <w:p w14:paraId="27419D79" w14:textId="77777777" w:rsidR="001F125A" w:rsidRPr="00A23543" w:rsidRDefault="001F125A" w:rsidP="001F125A">
      <w:pPr>
        <w:pStyle w:val="NoSpacing"/>
        <w:rPr>
          <w:rFonts w:ascii="Cambria" w:hAnsi="Cambria"/>
          <w:sz w:val="23"/>
          <w:szCs w:val="23"/>
        </w:rPr>
      </w:pPr>
    </w:p>
    <w:p w14:paraId="1B42E541" w14:textId="10A800A7" w:rsidR="001F125A" w:rsidRPr="00A23543" w:rsidRDefault="001F125A" w:rsidP="001F125A">
      <w:pPr>
        <w:pStyle w:val="NoSpacing"/>
        <w:rPr>
          <w:rFonts w:ascii="Cambria" w:hAnsi="Cambria"/>
          <w:sz w:val="23"/>
          <w:szCs w:val="23"/>
        </w:rPr>
      </w:pPr>
      <w:r w:rsidRPr="00A23543">
        <w:rPr>
          <w:rFonts w:ascii="Cambria" w:hAnsi="Cambria"/>
          <w:sz w:val="23"/>
          <w:szCs w:val="23"/>
        </w:rPr>
        <w:t>15 April 2026</w:t>
      </w:r>
    </w:p>
    <w:p w14:paraId="7061AE3A" w14:textId="77777777" w:rsidR="001F125A" w:rsidRPr="00A23543" w:rsidRDefault="001F125A" w:rsidP="001F125A">
      <w:pPr>
        <w:pStyle w:val="NoSpacing"/>
        <w:rPr>
          <w:rFonts w:ascii="Cambria" w:hAnsi="Cambria"/>
          <w:sz w:val="23"/>
          <w:szCs w:val="23"/>
        </w:rPr>
      </w:pPr>
    </w:p>
    <w:p w14:paraId="6E65C913" w14:textId="77777777" w:rsidR="001F125A" w:rsidRPr="00A23543" w:rsidRDefault="001F125A" w:rsidP="001F125A">
      <w:pPr>
        <w:pStyle w:val="NoSpacing"/>
        <w:rPr>
          <w:rFonts w:ascii="Cambria" w:hAnsi="Cambria"/>
          <w:sz w:val="23"/>
          <w:szCs w:val="23"/>
        </w:rPr>
      </w:pPr>
      <w:r w:rsidRPr="00A23543">
        <w:rPr>
          <w:rFonts w:ascii="Cambria" w:hAnsi="Cambria"/>
          <w:sz w:val="23"/>
          <w:szCs w:val="23"/>
        </w:rPr>
        <w:t>Department of Justice</w:t>
      </w:r>
    </w:p>
    <w:p w14:paraId="51DFCE38" w14:textId="77777777" w:rsidR="001F125A" w:rsidRPr="00A23543" w:rsidRDefault="001F125A" w:rsidP="001F125A">
      <w:pPr>
        <w:pStyle w:val="NoSpacing"/>
        <w:rPr>
          <w:rFonts w:ascii="Cambria" w:hAnsi="Cambria"/>
          <w:sz w:val="23"/>
          <w:szCs w:val="23"/>
        </w:rPr>
      </w:pPr>
      <w:r w:rsidRPr="00A23543">
        <w:rPr>
          <w:rFonts w:ascii="Cambria" w:hAnsi="Cambria"/>
          <w:sz w:val="23"/>
          <w:szCs w:val="23"/>
        </w:rPr>
        <w:t>Office of the Secretary</w:t>
      </w:r>
    </w:p>
    <w:p w14:paraId="11F71EFA" w14:textId="77777777" w:rsidR="001F125A" w:rsidRPr="00A23543" w:rsidRDefault="001F125A" w:rsidP="001F125A">
      <w:pPr>
        <w:pStyle w:val="NoSpacing"/>
        <w:rPr>
          <w:rFonts w:ascii="Cambria" w:hAnsi="Cambria"/>
          <w:sz w:val="23"/>
          <w:szCs w:val="23"/>
        </w:rPr>
      </w:pPr>
      <w:r w:rsidRPr="00A23543">
        <w:rPr>
          <w:rFonts w:ascii="Cambria" w:hAnsi="Cambria"/>
          <w:sz w:val="23"/>
          <w:szCs w:val="23"/>
        </w:rPr>
        <w:t>GPO Box 825</w:t>
      </w:r>
    </w:p>
    <w:p w14:paraId="506C0E1F" w14:textId="77777777" w:rsidR="001F125A" w:rsidRPr="00A23543" w:rsidRDefault="001F125A" w:rsidP="001F125A">
      <w:pPr>
        <w:pStyle w:val="NoSpacing"/>
        <w:rPr>
          <w:rFonts w:ascii="Cambria" w:hAnsi="Cambria"/>
          <w:sz w:val="23"/>
          <w:szCs w:val="23"/>
        </w:rPr>
      </w:pPr>
      <w:r w:rsidRPr="00A23543">
        <w:rPr>
          <w:rFonts w:ascii="Cambria" w:hAnsi="Cambria"/>
          <w:sz w:val="23"/>
          <w:szCs w:val="23"/>
        </w:rPr>
        <w:t>Hobart TAS 7001</w:t>
      </w:r>
    </w:p>
    <w:p w14:paraId="7403D734" w14:textId="22A6E831" w:rsidR="001F125A" w:rsidRPr="00A23543" w:rsidRDefault="001F125A" w:rsidP="00A23543">
      <w:pPr>
        <w:pStyle w:val="NoSpacing"/>
        <w:rPr>
          <w:rFonts w:ascii="Cambria" w:hAnsi="Cambria"/>
          <w:sz w:val="23"/>
          <w:szCs w:val="23"/>
        </w:rPr>
      </w:pPr>
      <w:proofErr w:type="spellStart"/>
      <w:r w:rsidRPr="00A23543">
        <w:rPr>
          <w:rFonts w:ascii="Cambria" w:hAnsi="Cambria"/>
          <w:sz w:val="23"/>
          <w:szCs w:val="23"/>
        </w:rPr>
        <w:t>attn:</w:t>
      </w:r>
      <w:proofErr w:type="spellEnd"/>
      <w:r w:rsidRPr="00A23543">
        <w:rPr>
          <w:rFonts w:ascii="Cambria" w:hAnsi="Cambria"/>
          <w:sz w:val="23"/>
          <w:szCs w:val="23"/>
        </w:rPr>
        <w:t xml:space="preserve"> Lloyd Babb SC </w:t>
      </w:r>
      <w:r w:rsidR="00A23543">
        <w:rPr>
          <w:rFonts w:ascii="Cambria" w:hAnsi="Cambria"/>
          <w:sz w:val="23"/>
          <w:szCs w:val="23"/>
        </w:rPr>
        <w:tab/>
      </w:r>
      <w:r w:rsidR="00A23543">
        <w:rPr>
          <w:rFonts w:ascii="Cambria" w:hAnsi="Cambria"/>
          <w:sz w:val="23"/>
          <w:szCs w:val="23"/>
        </w:rPr>
        <w:tab/>
      </w:r>
      <w:r w:rsidRPr="00A23543">
        <w:rPr>
          <w:rFonts w:ascii="Cambria" w:hAnsi="Cambria"/>
          <w:i/>
          <w:iCs/>
          <w:sz w:val="23"/>
          <w:szCs w:val="23"/>
        </w:rPr>
        <w:t xml:space="preserve">via email: </w:t>
      </w:r>
      <w:hyperlink r:id="rId8" w:history="1">
        <w:r w:rsidRPr="00A23543">
          <w:rPr>
            <w:rFonts w:ascii="Cambria" w:hAnsi="Cambria" w:cs="Segoe UI"/>
            <w:i/>
            <w:iCs/>
            <w:color w:val="0000FF"/>
            <w:sz w:val="23"/>
            <w:szCs w:val="23"/>
            <w:u w:val="single"/>
            <w:shd w:val="clear" w:color="auto" w:fill="FFFFFF"/>
            <w:lang w:eastAsia="en-GB"/>
          </w:rPr>
          <w:t>haveyoursay@justice.tas.gov.au</w:t>
        </w:r>
      </w:hyperlink>
    </w:p>
    <w:p w14:paraId="5263CB0B" w14:textId="77777777" w:rsidR="001F125A" w:rsidRPr="00A23543" w:rsidRDefault="001F125A" w:rsidP="001F125A">
      <w:pPr>
        <w:pStyle w:val="NoSpacing"/>
        <w:rPr>
          <w:rFonts w:ascii="Cambria" w:hAnsi="Cambria"/>
          <w:sz w:val="23"/>
          <w:szCs w:val="23"/>
        </w:rPr>
      </w:pPr>
    </w:p>
    <w:p w14:paraId="59714713" w14:textId="082BDD0F" w:rsidR="001F125A" w:rsidRPr="00A23543" w:rsidRDefault="001F125A" w:rsidP="001F125A">
      <w:pPr>
        <w:pStyle w:val="NoSpacing"/>
        <w:rPr>
          <w:rFonts w:ascii="Cambria" w:hAnsi="Cambria"/>
          <w:sz w:val="23"/>
          <w:szCs w:val="23"/>
        </w:rPr>
      </w:pPr>
      <w:r w:rsidRPr="00A23543">
        <w:rPr>
          <w:rFonts w:ascii="Cambria" w:hAnsi="Cambria"/>
          <w:sz w:val="23"/>
          <w:szCs w:val="23"/>
        </w:rPr>
        <w:t xml:space="preserve">To Lloyd Babb SC, </w:t>
      </w:r>
    </w:p>
    <w:p w14:paraId="69C09B30" w14:textId="2A2DC9DD" w:rsidR="001F125A" w:rsidRPr="00A23543" w:rsidRDefault="001F125A" w:rsidP="001F125A">
      <w:pPr>
        <w:pStyle w:val="NoSpacing"/>
        <w:rPr>
          <w:rFonts w:ascii="Cambria" w:hAnsi="Cambria"/>
          <w:sz w:val="23"/>
          <w:szCs w:val="23"/>
          <w:lang w:eastAsia="en-GB"/>
        </w:rPr>
      </w:pPr>
      <w:r w:rsidRPr="00A23543">
        <w:rPr>
          <w:rFonts w:ascii="Cambria" w:hAnsi="Cambria"/>
          <w:b/>
          <w:bCs/>
          <w:noProof/>
          <w:sz w:val="23"/>
          <w:szCs w:val="23"/>
        </w:rPr>
        <mc:AlternateContent>
          <mc:Choice Requires="wps">
            <w:drawing>
              <wp:anchor distT="0" distB="0" distL="114300" distR="114300" simplePos="0" relativeHeight="251659264" behindDoc="0" locked="0" layoutInCell="1" allowOverlap="1" wp14:anchorId="2966FCEF" wp14:editId="6F0225CD">
                <wp:simplePos x="0" y="0"/>
                <wp:positionH relativeFrom="column">
                  <wp:posOffset>-7620</wp:posOffset>
                </wp:positionH>
                <wp:positionV relativeFrom="paragraph">
                  <wp:posOffset>237490</wp:posOffset>
                </wp:positionV>
                <wp:extent cx="6050280" cy="15240"/>
                <wp:effectExtent l="0" t="0" r="26670" b="22860"/>
                <wp:wrapNone/>
                <wp:docPr id="1" name="Straight Connector 1"/>
                <wp:cNvGraphicFramePr/>
                <a:graphic xmlns:a="http://schemas.openxmlformats.org/drawingml/2006/main">
                  <a:graphicData uri="http://schemas.microsoft.com/office/word/2010/wordprocessingShape">
                    <wps:wsp>
                      <wps:cNvCnPr/>
                      <wps:spPr>
                        <a:xfrm>
                          <a:off x="0" y="0"/>
                          <a:ext cx="60502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16913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8.7pt" to="475.8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" strokecolor="black [3200]" strokeweight=".5pt">
                <v:stroke joinstyle="miter"/>
              </v:line>
            </w:pict>
          </mc:Fallback>
        </mc:AlternateContent>
      </w:r>
      <w:r w:rsidRPr="00A23543">
        <w:rPr>
          <w:rFonts w:ascii="Cambria" w:hAnsi="Cambria"/>
          <w:b/>
          <w:bCs/>
          <w:sz w:val="23"/>
          <w:szCs w:val="23"/>
        </w:rPr>
        <w:t xml:space="preserve">Re: </w:t>
      </w:r>
      <w:r w:rsidRPr="00A23543">
        <w:rPr>
          <w:rFonts w:ascii="Cambria" w:hAnsi="Cambria"/>
          <w:b/>
          <w:bCs/>
          <w:i/>
          <w:iCs/>
          <w:sz w:val="23"/>
          <w:szCs w:val="23"/>
        </w:rPr>
        <w:t>Third Party Review of Backlogs in the Tasmanian Court System</w:t>
      </w:r>
    </w:p>
    <w:p w14:paraId="1D0E60DF" w14:textId="77777777" w:rsidR="001F125A" w:rsidRPr="00A23543" w:rsidRDefault="001F125A" w:rsidP="001F125A">
      <w:pPr>
        <w:pStyle w:val="NoSpacing"/>
        <w:rPr>
          <w:rFonts w:ascii="Cambria" w:hAnsi="Cambria"/>
          <w:b/>
          <w:bCs/>
          <w:sz w:val="23"/>
          <w:szCs w:val="23"/>
        </w:rPr>
      </w:pPr>
    </w:p>
    <w:p w14:paraId="6487AA6C" w14:textId="55810062" w:rsidR="00740CD7" w:rsidRPr="00A23543" w:rsidRDefault="001F125A" w:rsidP="001F125A">
      <w:pPr>
        <w:pStyle w:val="NoSpacing"/>
        <w:jc w:val="both"/>
        <w:rPr>
          <w:rFonts w:ascii="Cambria" w:hAnsi="Cambria"/>
          <w:color w:val="000000" w:themeColor="text1"/>
          <w:sz w:val="23"/>
          <w:szCs w:val="23"/>
        </w:rPr>
      </w:pPr>
      <w:r w:rsidRPr="00A23543">
        <w:rPr>
          <w:rFonts w:ascii="Cambria" w:hAnsi="Cambria"/>
          <w:color w:val="000000" w:themeColor="text1"/>
          <w:sz w:val="23"/>
          <w:szCs w:val="23"/>
        </w:rPr>
        <w:t>Community Legal Centres Tasmania</w:t>
      </w:r>
      <w:r w:rsidR="00217B23" w:rsidRPr="00A23543">
        <w:rPr>
          <w:rFonts w:ascii="Cambria" w:hAnsi="Cambria"/>
          <w:color w:val="000000" w:themeColor="text1"/>
          <w:sz w:val="23"/>
          <w:szCs w:val="23"/>
        </w:rPr>
        <w:t xml:space="preserve"> </w:t>
      </w:r>
      <w:r w:rsidRPr="00A23543">
        <w:rPr>
          <w:rFonts w:ascii="Cambria" w:hAnsi="Cambria"/>
          <w:color w:val="000000" w:themeColor="text1"/>
          <w:sz w:val="23"/>
          <w:szCs w:val="23"/>
        </w:rPr>
        <w:t>welcome</w:t>
      </w:r>
      <w:r w:rsidR="00217B23" w:rsidRPr="00A23543">
        <w:rPr>
          <w:rFonts w:ascii="Cambria" w:hAnsi="Cambria"/>
          <w:color w:val="000000" w:themeColor="text1"/>
          <w:sz w:val="23"/>
          <w:szCs w:val="23"/>
        </w:rPr>
        <w:t>s</w:t>
      </w:r>
      <w:r w:rsidRPr="00A23543">
        <w:rPr>
          <w:rFonts w:ascii="Cambria" w:hAnsi="Cambria"/>
          <w:color w:val="000000" w:themeColor="text1"/>
          <w:sz w:val="23"/>
          <w:szCs w:val="23"/>
        </w:rPr>
        <w:t xml:space="preserve"> the opportunity to provide comment on the </w:t>
      </w:r>
      <w:proofErr w:type="gramStart"/>
      <w:r w:rsidRPr="00A23543">
        <w:rPr>
          <w:rFonts w:ascii="Cambria" w:hAnsi="Cambria"/>
          <w:i/>
          <w:iCs/>
          <w:color w:val="000000" w:themeColor="text1"/>
          <w:sz w:val="23"/>
          <w:szCs w:val="23"/>
        </w:rPr>
        <w:t>Third Party</w:t>
      </w:r>
      <w:proofErr w:type="gramEnd"/>
      <w:r w:rsidRPr="00A23543">
        <w:rPr>
          <w:rFonts w:ascii="Cambria" w:hAnsi="Cambria"/>
          <w:i/>
          <w:iCs/>
          <w:color w:val="000000" w:themeColor="text1"/>
          <w:sz w:val="23"/>
          <w:szCs w:val="23"/>
        </w:rPr>
        <w:t xml:space="preserve"> Review of Backlogs in the Tasmanian Court System </w:t>
      </w:r>
      <w:r w:rsidRPr="00A23543">
        <w:rPr>
          <w:rFonts w:ascii="Cambria" w:hAnsi="Cambria"/>
          <w:color w:val="000000" w:themeColor="text1"/>
          <w:sz w:val="23"/>
          <w:szCs w:val="23"/>
        </w:rPr>
        <w:t>(‘the Review’).</w:t>
      </w:r>
      <w:r w:rsidR="00A23543" w:rsidRPr="00643BEA">
        <w:rPr>
          <w:rStyle w:val="FootnoteReference"/>
          <w:rFonts w:ascii="Cambria" w:eastAsiaTheme="majorEastAsia" w:hAnsi="Cambria"/>
          <w:iCs/>
          <w:color w:val="000000" w:themeColor="text1"/>
        </w:rPr>
        <w:footnoteReference w:id="1"/>
      </w:r>
      <w:r w:rsidR="00740CD7" w:rsidRPr="00A23543">
        <w:rPr>
          <w:rFonts w:ascii="Cambria" w:hAnsi="Cambria"/>
          <w:color w:val="000000" w:themeColor="text1"/>
          <w:sz w:val="23"/>
          <w:szCs w:val="23"/>
        </w:rPr>
        <w:t xml:space="preserve"> Due to resourcing limitations, our submission </w:t>
      </w:r>
      <w:r w:rsidR="00F44534">
        <w:rPr>
          <w:rFonts w:ascii="Cambria" w:hAnsi="Cambria"/>
          <w:color w:val="000000" w:themeColor="text1"/>
          <w:sz w:val="23"/>
          <w:szCs w:val="23"/>
        </w:rPr>
        <w:t>focuses on three issues</w:t>
      </w:r>
      <w:r w:rsidR="00740CD7" w:rsidRPr="00A23543">
        <w:rPr>
          <w:rFonts w:ascii="Cambria" w:hAnsi="Cambria"/>
          <w:color w:val="000000" w:themeColor="text1"/>
          <w:sz w:val="23"/>
          <w:szCs w:val="23"/>
        </w:rPr>
        <w:t>:</w:t>
      </w:r>
    </w:p>
    <w:p w14:paraId="361A0E79" w14:textId="77777777" w:rsidR="00740CD7" w:rsidRPr="00A23543" w:rsidRDefault="00740CD7" w:rsidP="001F125A">
      <w:pPr>
        <w:pStyle w:val="NoSpacing"/>
        <w:jc w:val="both"/>
        <w:rPr>
          <w:rFonts w:ascii="Cambria" w:hAnsi="Cambria"/>
          <w:color w:val="000000" w:themeColor="text1"/>
          <w:sz w:val="23"/>
          <w:szCs w:val="23"/>
        </w:rPr>
      </w:pPr>
    </w:p>
    <w:p w14:paraId="105261DD" w14:textId="437F9A29" w:rsidR="00740CD7" w:rsidRPr="00A23543" w:rsidRDefault="00740CD7" w:rsidP="00740CD7">
      <w:pPr>
        <w:pStyle w:val="NoSpacing"/>
        <w:numPr>
          <w:ilvl w:val="0"/>
          <w:numId w:val="21"/>
        </w:numPr>
        <w:jc w:val="both"/>
        <w:rPr>
          <w:rFonts w:ascii="Cambria" w:hAnsi="Cambria"/>
          <w:color w:val="000000" w:themeColor="text1"/>
          <w:sz w:val="23"/>
          <w:szCs w:val="23"/>
        </w:rPr>
      </w:pPr>
      <w:r w:rsidRPr="00A23543">
        <w:rPr>
          <w:rFonts w:ascii="Cambria" w:hAnsi="Cambria"/>
          <w:color w:val="000000" w:themeColor="text1"/>
          <w:sz w:val="23"/>
          <w:szCs w:val="23"/>
        </w:rPr>
        <w:t>the lack of judicial officers in the Supreme Court; and</w:t>
      </w:r>
    </w:p>
    <w:p w14:paraId="72F34851" w14:textId="06FC0348" w:rsidR="00740CD7" w:rsidRPr="00A23543" w:rsidRDefault="00740CD7" w:rsidP="00740CD7">
      <w:pPr>
        <w:pStyle w:val="NoSpacing"/>
        <w:numPr>
          <w:ilvl w:val="0"/>
          <w:numId w:val="21"/>
        </w:numPr>
        <w:jc w:val="both"/>
        <w:rPr>
          <w:rFonts w:ascii="Cambria" w:hAnsi="Cambria"/>
          <w:color w:val="000000" w:themeColor="text1"/>
          <w:sz w:val="23"/>
          <w:szCs w:val="23"/>
        </w:rPr>
      </w:pPr>
      <w:r w:rsidRPr="00A23543">
        <w:rPr>
          <w:rFonts w:ascii="Cambria" w:hAnsi="Cambria"/>
          <w:color w:val="000000" w:themeColor="text1"/>
          <w:sz w:val="23"/>
          <w:szCs w:val="23"/>
        </w:rPr>
        <w:t>residential tenancy applications in the Magistrates Court; and</w:t>
      </w:r>
    </w:p>
    <w:p w14:paraId="2AB06894" w14:textId="34C865F4" w:rsidR="00740CD7" w:rsidRPr="00A23543" w:rsidRDefault="00740CD7" w:rsidP="00740CD7">
      <w:pPr>
        <w:pStyle w:val="NoSpacing"/>
        <w:numPr>
          <w:ilvl w:val="0"/>
          <w:numId w:val="21"/>
        </w:numPr>
        <w:jc w:val="both"/>
        <w:rPr>
          <w:rFonts w:ascii="Cambria" w:hAnsi="Cambria"/>
          <w:color w:val="000000" w:themeColor="text1"/>
          <w:sz w:val="23"/>
          <w:szCs w:val="23"/>
        </w:rPr>
      </w:pPr>
      <w:r w:rsidRPr="00A23543">
        <w:rPr>
          <w:rFonts w:ascii="Cambria" w:hAnsi="Cambria"/>
          <w:color w:val="000000" w:themeColor="text1"/>
          <w:sz w:val="23"/>
          <w:szCs w:val="23"/>
        </w:rPr>
        <w:t xml:space="preserve"> prosecutorial disclosure. </w:t>
      </w:r>
    </w:p>
    <w:p w14:paraId="1809C85F" w14:textId="77777777" w:rsidR="00740CD7" w:rsidRPr="00A23543" w:rsidRDefault="00740CD7" w:rsidP="00740CD7">
      <w:pPr>
        <w:pStyle w:val="NoSpacing"/>
        <w:jc w:val="both"/>
        <w:rPr>
          <w:rFonts w:ascii="Cambria" w:hAnsi="Cambria"/>
          <w:color w:val="000000" w:themeColor="text1"/>
          <w:sz w:val="23"/>
          <w:szCs w:val="23"/>
        </w:rPr>
      </w:pPr>
    </w:p>
    <w:p w14:paraId="4BA71C15" w14:textId="2CD47D8E" w:rsidR="001F125A" w:rsidRPr="00A23543" w:rsidRDefault="00740CD7" w:rsidP="00740CD7">
      <w:pPr>
        <w:pStyle w:val="NoSpacing"/>
        <w:jc w:val="both"/>
        <w:rPr>
          <w:rFonts w:ascii="Cambria" w:hAnsi="Cambria"/>
          <w:color w:val="000000" w:themeColor="text1"/>
          <w:sz w:val="23"/>
          <w:szCs w:val="23"/>
        </w:rPr>
      </w:pPr>
      <w:r w:rsidRPr="00A23543">
        <w:rPr>
          <w:rFonts w:ascii="Cambria" w:hAnsi="Cambria"/>
          <w:color w:val="000000" w:themeColor="text1"/>
          <w:sz w:val="23"/>
          <w:szCs w:val="23"/>
        </w:rPr>
        <w:t xml:space="preserve">Whilst none of these issues on their own are a panacea, we believe that </w:t>
      </w:r>
      <w:r w:rsidR="00F44534">
        <w:rPr>
          <w:rFonts w:ascii="Cambria" w:hAnsi="Cambria"/>
          <w:color w:val="000000" w:themeColor="text1"/>
          <w:sz w:val="23"/>
          <w:szCs w:val="23"/>
        </w:rPr>
        <w:t xml:space="preserve">the adoption of the proposed recommendations </w:t>
      </w:r>
      <w:r w:rsidRPr="00A23543">
        <w:rPr>
          <w:rFonts w:ascii="Cambria" w:hAnsi="Cambria"/>
          <w:color w:val="000000" w:themeColor="text1"/>
          <w:sz w:val="23"/>
          <w:szCs w:val="23"/>
        </w:rPr>
        <w:t xml:space="preserve">will go some way to reducing the delay in Tasmania’s courts. </w:t>
      </w:r>
    </w:p>
    <w:p w14:paraId="180C3F2D" w14:textId="77777777" w:rsidR="00217B23" w:rsidRPr="00A23543" w:rsidRDefault="00217B23" w:rsidP="00740CD7">
      <w:pPr>
        <w:pStyle w:val="NoSpacing"/>
        <w:jc w:val="both"/>
        <w:rPr>
          <w:rFonts w:ascii="Cambria" w:hAnsi="Cambria"/>
          <w:color w:val="000000" w:themeColor="text1"/>
          <w:sz w:val="23"/>
          <w:szCs w:val="23"/>
        </w:rPr>
      </w:pPr>
    </w:p>
    <w:p w14:paraId="44B7EB12" w14:textId="515889CC" w:rsidR="00217B23" w:rsidRPr="00A23543" w:rsidRDefault="00217B23" w:rsidP="00740CD7">
      <w:pPr>
        <w:pStyle w:val="NoSpacing"/>
        <w:jc w:val="both"/>
        <w:rPr>
          <w:rFonts w:ascii="Cambria" w:hAnsi="Cambria"/>
          <w:sz w:val="23"/>
          <w:szCs w:val="23"/>
        </w:rPr>
      </w:pPr>
      <w:r w:rsidRPr="00A23543">
        <w:rPr>
          <w:rFonts w:ascii="Cambria" w:hAnsi="Cambria"/>
          <w:sz w:val="23"/>
          <w:szCs w:val="23"/>
        </w:rPr>
        <w:t xml:space="preserve">CLC Tas is the peak body representing the interests of nine community legal centres (CLCs) located through Tasmania. We are a member-based, independent, not-for-profit and incorporated organisation that advocates for law reform on a range of public interest matters aimed at improving access to justice, reducing discrimination and protecting and promoting human rights. </w:t>
      </w:r>
    </w:p>
    <w:p w14:paraId="2DB31691" w14:textId="77777777" w:rsidR="001F125A" w:rsidRPr="00A23543" w:rsidRDefault="001F125A" w:rsidP="001F125A">
      <w:pPr>
        <w:pStyle w:val="NoSpacing"/>
        <w:jc w:val="both"/>
        <w:rPr>
          <w:rFonts w:ascii="Cambria" w:hAnsi="Cambria"/>
          <w:sz w:val="23"/>
          <w:szCs w:val="23"/>
        </w:rPr>
      </w:pPr>
    </w:p>
    <w:p w14:paraId="3EA83E85" w14:textId="7E214E06" w:rsidR="00740CD7" w:rsidRPr="00A23543" w:rsidRDefault="00740CD7" w:rsidP="00D90352">
      <w:pPr>
        <w:pStyle w:val="NoSpacing"/>
        <w:jc w:val="both"/>
        <w:rPr>
          <w:rFonts w:ascii="Cambria" w:hAnsi="Cambria"/>
          <w:b/>
          <w:bCs/>
          <w:sz w:val="23"/>
          <w:szCs w:val="23"/>
        </w:rPr>
      </w:pPr>
      <w:r w:rsidRPr="00A23543">
        <w:rPr>
          <w:rFonts w:ascii="Cambria" w:hAnsi="Cambria"/>
          <w:b/>
          <w:bCs/>
          <w:sz w:val="23"/>
          <w:szCs w:val="23"/>
        </w:rPr>
        <w:t>BACKGROUND</w:t>
      </w:r>
    </w:p>
    <w:p w14:paraId="1E72AD4F" w14:textId="11CCC643" w:rsidR="00566C35" w:rsidRPr="00A23543" w:rsidRDefault="00B75178" w:rsidP="00D90352">
      <w:pPr>
        <w:pStyle w:val="NoSpacing"/>
        <w:jc w:val="both"/>
        <w:rPr>
          <w:rFonts w:ascii="Cambria" w:hAnsi="Cambria"/>
          <w:sz w:val="23"/>
          <w:szCs w:val="23"/>
        </w:rPr>
      </w:pPr>
      <w:r w:rsidRPr="00A23543">
        <w:rPr>
          <w:rFonts w:ascii="Cambria" w:hAnsi="Cambria"/>
          <w:sz w:val="23"/>
          <w:szCs w:val="23"/>
        </w:rPr>
        <w:t xml:space="preserve">Tasmania has long had issues with </w:t>
      </w:r>
      <w:r w:rsidR="00120DDD" w:rsidRPr="00A23543">
        <w:rPr>
          <w:rFonts w:ascii="Cambria" w:hAnsi="Cambria"/>
          <w:sz w:val="23"/>
          <w:szCs w:val="23"/>
        </w:rPr>
        <w:t xml:space="preserve">delays with former </w:t>
      </w:r>
      <w:r w:rsidR="002A0B4F" w:rsidRPr="00A23543">
        <w:rPr>
          <w:rFonts w:ascii="Cambria" w:hAnsi="Cambria"/>
          <w:sz w:val="23"/>
          <w:szCs w:val="23"/>
        </w:rPr>
        <w:t xml:space="preserve">Supreme Court </w:t>
      </w:r>
      <w:r w:rsidR="00120DDD" w:rsidRPr="00A23543">
        <w:rPr>
          <w:rFonts w:ascii="Cambria" w:hAnsi="Cambria"/>
          <w:sz w:val="23"/>
          <w:szCs w:val="23"/>
        </w:rPr>
        <w:t>Chief Justice Alan Blow AO observing a decade ago “</w:t>
      </w:r>
      <w:r w:rsidR="002A0B4F" w:rsidRPr="00A23543">
        <w:rPr>
          <w:rFonts w:ascii="Cambria" w:hAnsi="Cambria"/>
          <w:sz w:val="23"/>
          <w:szCs w:val="23"/>
        </w:rPr>
        <w:t>[d]</w:t>
      </w:r>
      <w:proofErr w:type="spellStart"/>
      <w:r w:rsidR="00120DDD" w:rsidRPr="00A23543">
        <w:rPr>
          <w:rFonts w:ascii="Cambria" w:hAnsi="Cambria"/>
          <w:sz w:val="23"/>
          <w:szCs w:val="23"/>
        </w:rPr>
        <w:t>elays</w:t>
      </w:r>
      <w:proofErr w:type="spellEnd"/>
      <w:r w:rsidR="00120DDD" w:rsidRPr="00A23543">
        <w:rPr>
          <w:rFonts w:ascii="Cambria" w:hAnsi="Cambria"/>
          <w:sz w:val="23"/>
          <w:szCs w:val="23"/>
        </w:rPr>
        <w:t xml:space="preserve"> of around two years between the commission of a crime and the trial of the alleged offender are now far more common than they should be. Such delays result in the deterioration of the memories of witnesses, and substantial unfairness to both victims and accused persons”.</w:t>
      </w:r>
      <w:r w:rsidR="00120DDD" w:rsidRPr="00A23543">
        <w:rPr>
          <w:rStyle w:val="FootnoteReference"/>
          <w:rFonts w:ascii="Cambria" w:hAnsi="Cambria"/>
          <w:sz w:val="23"/>
          <w:szCs w:val="23"/>
        </w:rPr>
        <w:footnoteReference w:id="2"/>
      </w:r>
      <w:r w:rsidR="00120DDD" w:rsidRPr="00A23543">
        <w:rPr>
          <w:rFonts w:ascii="Cambria" w:hAnsi="Cambria"/>
          <w:sz w:val="23"/>
          <w:szCs w:val="23"/>
        </w:rPr>
        <w:t xml:space="preserve"> </w:t>
      </w:r>
      <w:r w:rsidR="00566C35" w:rsidRPr="00A23543">
        <w:rPr>
          <w:rFonts w:ascii="Cambria" w:hAnsi="Cambria"/>
          <w:sz w:val="23"/>
          <w:szCs w:val="23"/>
        </w:rPr>
        <w:t xml:space="preserve">More recently, </w:t>
      </w:r>
      <w:r w:rsidRPr="00A23543">
        <w:rPr>
          <w:rFonts w:ascii="Cambria" w:hAnsi="Cambria"/>
          <w:sz w:val="23"/>
          <w:szCs w:val="23"/>
        </w:rPr>
        <w:t>Chief Justice Shanahan not</w:t>
      </w:r>
      <w:r w:rsidR="00566C35" w:rsidRPr="00A23543">
        <w:rPr>
          <w:rFonts w:ascii="Cambria" w:hAnsi="Cambria"/>
          <w:sz w:val="23"/>
          <w:szCs w:val="23"/>
        </w:rPr>
        <w:t>ed</w:t>
      </w:r>
      <w:r w:rsidRPr="00A23543">
        <w:rPr>
          <w:rFonts w:ascii="Cambria" w:hAnsi="Cambria"/>
          <w:sz w:val="23"/>
          <w:szCs w:val="23"/>
        </w:rPr>
        <w:t xml:space="preserve"> that “the Court continues to face increasing workloads, backlogs and delay across all the elements of its jurisdiction”.</w:t>
      </w:r>
      <w:r w:rsidRPr="00A23543">
        <w:rPr>
          <w:rStyle w:val="FootnoteReference"/>
          <w:rFonts w:ascii="Cambria" w:hAnsi="Cambria"/>
          <w:sz w:val="23"/>
          <w:szCs w:val="23"/>
        </w:rPr>
        <w:footnoteReference w:id="3"/>
      </w:r>
      <w:r w:rsidR="00740CD7" w:rsidRPr="00A23543">
        <w:rPr>
          <w:rFonts w:ascii="Cambria" w:hAnsi="Cambria"/>
          <w:sz w:val="23"/>
          <w:szCs w:val="23"/>
        </w:rPr>
        <w:t xml:space="preserve"> As a recent editorial in </w:t>
      </w:r>
      <w:r w:rsidR="00740CD7" w:rsidRPr="00F44534">
        <w:rPr>
          <w:rFonts w:ascii="Cambria" w:hAnsi="Cambria"/>
          <w:i/>
          <w:iCs/>
          <w:sz w:val="23"/>
          <w:szCs w:val="23"/>
        </w:rPr>
        <w:t>The Mercury</w:t>
      </w:r>
      <w:r w:rsidR="00740CD7" w:rsidRPr="00A23543">
        <w:rPr>
          <w:rFonts w:ascii="Cambria" w:hAnsi="Cambria"/>
          <w:sz w:val="23"/>
          <w:szCs w:val="23"/>
        </w:rPr>
        <w:t xml:space="preserve"> newspaper highlighted, “the impact of delay ripples far beyond the walls of the Supreme Court and Magistrates Court. It shapes the lives of victims-survivors, their loved ones, the accused, and the wider community’s trust in the rule of law”.</w:t>
      </w:r>
      <w:r w:rsidR="00740CD7" w:rsidRPr="00A23543">
        <w:rPr>
          <w:rStyle w:val="FootnoteReference"/>
          <w:rFonts w:ascii="Cambria" w:hAnsi="Cambria"/>
          <w:sz w:val="23"/>
          <w:szCs w:val="23"/>
        </w:rPr>
        <w:footnoteReference w:id="4"/>
      </w:r>
    </w:p>
    <w:p w14:paraId="1E2B49DF" w14:textId="1B8B7478" w:rsidR="00D90352" w:rsidRPr="00A23543" w:rsidRDefault="00861525" w:rsidP="00D90352">
      <w:pPr>
        <w:pStyle w:val="NoSpacing"/>
        <w:jc w:val="both"/>
        <w:rPr>
          <w:rFonts w:ascii="Cambria" w:hAnsi="Cambria"/>
          <w:sz w:val="23"/>
          <w:szCs w:val="23"/>
        </w:rPr>
      </w:pPr>
      <w:r w:rsidRPr="00A23543">
        <w:rPr>
          <w:rFonts w:ascii="Cambria" w:hAnsi="Cambria"/>
          <w:sz w:val="23"/>
          <w:szCs w:val="23"/>
        </w:rPr>
        <w:lastRenderedPageBreak/>
        <w:t>The number of finalised cases</w:t>
      </w:r>
      <w:r w:rsidR="00D90352" w:rsidRPr="00A23543">
        <w:rPr>
          <w:rFonts w:ascii="Cambria" w:hAnsi="Cambria"/>
          <w:sz w:val="23"/>
          <w:szCs w:val="23"/>
        </w:rPr>
        <w:t xml:space="preserve"> in both </w:t>
      </w:r>
      <w:r w:rsidRPr="00A23543">
        <w:rPr>
          <w:rFonts w:ascii="Cambria" w:hAnsi="Cambria"/>
          <w:sz w:val="23"/>
          <w:szCs w:val="23"/>
        </w:rPr>
        <w:t xml:space="preserve">Tasmania’s </w:t>
      </w:r>
      <w:r w:rsidR="00D90352" w:rsidRPr="00A23543">
        <w:rPr>
          <w:rFonts w:ascii="Cambria" w:hAnsi="Cambria"/>
          <w:sz w:val="23"/>
          <w:szCs w:val="23"/>
        </w:rPr>
        <w:t>Magistrates and Supreme Court</w:t>
      </w:r>
      <w:r w:rsidRPr="00A23543">
        <w:rPr>
          <w:rFonts w:ascii="Cambria" w:hAnsi="Cambria"/>
          <w:sz w:val="23"/>
          <w:szCs w:val="23"/>
        </w:rPr>
        <w:t>s</w:t>
      </w:r>
      <w:r w:rsidR="00D90352" w:rsidRPr="00A23543">
        <w:rPr>
          <w:rFonts w:ascii="Cambria" w:hAnsi="Cambria"/>
          <w:sz w:val="23"/>
          <w:szCs w:val="23"/>
        </w:rPr>
        <w:t xml:space="preserve"> is amongst the worst in Australia. The most recent data from the Productivity Commission’s </w:t>
      </w:r>
      <w:r w:rsidR="00D90352" w:rsidRPr="00A23543">
        <w:rPr>
          <w:rFonts w:ascii="Cambria" w:hAnsi="Cambria"/>
          <w:i/>
          <w:iCs/>
          <w:sz w:val="23"/>
          <w:szCs w:val="23"/>
        </w:rPr>
        <w:t>Report on Government Services</w:t>
      </w:r>
      <w:r w:rsidR="00D90352" w:rsidRPr="00A23543">
        <w:rPr>
          <w:rFonts w:ascii="Cambria" w:hAnsi="Cambria"/>
          <w:sz w:val="23"/>
          <w:szCs w:val="23"/>
        </w:rPr>
        <w:t xml:space="preserve"> finds that over the last decade, Tasmania’s Magistrates Court </w:t>
      </w:r>
      <w:r w:rsidRPr="00A23543">
        <w:rPr>
          <w:rFonts w:ascii="Cambria" w:hAnsi="Cambria"/>
          <w:sz w:val="23"/>
          <w:szCs w:val="23"/>
        </w:rPr>
        <w:t>i</w:t>
      </w:r>
      <w:r w:rsidR="00D90352" w:rsidRPr="00A23543">
        <w:rPr>
          <w:rFonts w:ascii="Cambria" w:hAnsi="Cambria"/>
          <w:sz w:val="23"/>
          <w:szCs w:val="23"/>
        </w:rPr>
        <w:t xml:space="preserve">s consistently </w:t>
      </w:r>
      <w:r w:rsidRPr="00A23543">
        <w:rPr>
          <w:rFonts w:ascii="Cambria" w:hAnsi="Cambria"/>
          <w:sz w:val="23"/>
          <w:szCs w:val="23"/>
        </w:rPr>
        <w:t>ranked</w:t>
      </w:r>
      <w:r w:rsidR="00D90352" w:rsidRPr="00A23543">
        <w:rPr>
          <w:rFonts w:ascii="Cambria" w:hAnsi="Cambria"/>
          <w:sz w:val="23"/>
          <w:szCs w:val="23"/>
        </w:rPr>
        <w:t xml:space="preserve"> amongst the worst in finalising cases in an expeditious and timely manner</w:t>
      </w:r>
      <w:r w:rsidR="00D90352" w:rsidRPr="00A23543">
        <w:rPr>
          <w:rFonts w:ascii="Cambria" w:hAnsi="Cambria"/>
          <w:iCs/>
          <w:color w:val="000000" w:themeColor="text1"/>
          <w:sz w:val="23"/>
          <w:szCs w:val="23"/>
        </w:rPr>
        <w:t>.</w:t>
      </w:r>
      <w:r w:rsidR="00D90352" w:rsidRPr="00A23543">
        <w:rPr>
          <w:rStyle w:val="FootnoteReference"/>
          <w:rFonts w:ascii="Cambria" w:hAnsi="Cambria"/>
          <w:iCs/>
          <w:color w:val="000000" w:themeColor="text1"/>
          <w:sz w:val="23"/>
          <w:szCs w:val="23"/>
        </w:rPr>
        <w:footnoteReference w:id="5"/>
      </w:r>
      <w:r w:rsidR="00D90352" w:rsidRPr="00A23543">
        <w:rPr>
          <w:rFonts w:ascii="Cambria" w:hAnsi="Cambria"/>
          <w:iCs/>
          <w:color w:val="000000" w:themeColor="text1"/>
          <w:sz w:val="23"/>
          <w:szCs w:val="23"/>
        </w:rPr>
        <w:t xml:space="preserve"> Worryingly, the data demonstrates that</w:t>
      </w:r>
      <w:r w:rsidR="00566C35" w:rsidRPr="00A23543">
        <w:rPr>
          <w:rFonts w:ascii="Cambria" w:hAnsi="Cambria"/>
          <w:iCs/>
          <w:color w:val="000000" w:themeColor="text1"/>
          <w:sz w:val="23"/>
          <w:szCs w:val="23"/>
        </w:rPr>
        <w:t xml:space="preserve"> finalisations</w:t>
      </w:r>
      <w:r w:rsidR="00D90352" w:rsidRPr="00A23543">
        <w:rPr>
          <w:rFonts w:ascii="Cambria" w:hAnsi="Cambria"/>
          <w:iCs/>
          <w:color w:val="000000" w:themeColor="text1"/>
          <w:sz w:val="23"/>
          <w:szCs w:val="23"/>
        </w:rPr>
        <w:t xml:space="preserve"> within both 6 and 12 months </w:t>
      </w:r>
      <w:r w:rsidR="00740CD7" w:rsidRPr="00A23543">
        <w:rPr>
          <w:rFonts w:ascii="Cambria" w:hAnsi="Cambria"/>
          <w:iCs/>
          <w:color w:val="000000" w:themeColor="text1"/>
          <w:sz w:val="23"/>
          <w:szCs w:val="23"/>
        </w:rPr>
        <w:t xml:space="preserve">in the Magistrates Court </w:t>
      </w:r>
      <w:r w:rsidR="00D90352" w:rsidRPr="00A23543">
        <w:rPr>
          <w:rFonts w:ascii="Cambria" w:hAnsi="Cambria"/>
          <w:iCs/>
          <w:color w:val="000000" w:themeColor="text1"/>
          <w:sz w:val="23"/>
          <w:szCs w:val="23"/>
        </w:rPr>
        <w:t xml:space="preserve">is getting worse with less than half of all cases in 2024-25 (44 per cent) finalised within 6 months. </w:t>
      </w:r>
    </w:p>
    <w:p w14:paraId="5146182D" w14:textId="77777777" w:rsidR="00020EA6" w:rsidRDefault="00020EA6" w:rsidP="00D90352">
      <w:pPr>
        <w:pStyle w:val="NoSpacing"/>
        <w:jc w:val="both"/>
        <w:rPr>
          <w:rFonts w:ascii="Cambria" w:hAnsi="Cambria"/>
          <w:iCs/>
          <w:color w:val="000000" w:themeColor="text1"/>
          <w:sz w:val="24"/>
          <w:szCs w:val="24"/>
        </w:rPr>
      </w:pPr>
    </w:p>
    <w:p w14:paraId="52606927" w14:textId="2C8AF6C5" w:rsidR="00020EA6" w:rsidRPr="00D90352" w:rsidRDefault="00020EA6" w:rsidP="00020EA6">
      <w:pPr>
        <w:pStyle w:val="NoSpacing"/>
        <w:jc w:val="center"/>
        <w:rPr>
          <w:rFonts w:ascii="Cambria" w:hAnsi="Cambria"/>
          <w:iCs/>
          <w:color w:val="000000" w:themeColor="text1"/>
          <w:sz w:val="24"/>
          <w:szCs w:val="24"/>
        </w:rPr>
      </w:pPr>
      <w:r>
        <w:rPr>
          <w:noProof/>
          <w14:ligatures w14:val="standardContextual"/>
        </w:rPr>
        <w:drawing>
          <wp:inline distT="0" distB="0" distL="0" distR="0" wp14:anchorId="6A299DA2" wp14:editId="59914749">
            <wp:extent cx="4572000" cy="2743200"/>
            <wp:effectExtent l="0" t="0" r="12700" b="12700"/>
            <wp:docPr id="1634986920" name="Chart 1">
              <a:extLst xmlns:a="http://schemas.openxmlformats.org/drawingml/2006/main">
                <a:ext uri="{FF2B5EF4-FFF2-40B4-BE49-F238E27FC236}">
                  <a16:creationId xmlns:a16="http://schemas.microsoft.com/office/drawing/2014/main" id="{B1513D40-4521-0FED-7447-866F6AA1D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419E9F" w14:textId="77777777" w:rsidR="00020EA6" w:rsidRPr="00020EA6" w:rsidRDefault="00020EA6" w:rsidP="00020EA6">
      <w:pPr>
        <w:pStyle w:val="NoSpacing"/>
        <w:ind w:left="993" w:right="1082"/>
        <w:jc w:val="both"/>
        <w:rPr>
          <w:rFonts w:ascii="Cambria" w:hAnsi="Cambria"/>
          <w:iCs/>
          <w:color w:val="000000" w:themeColor="text1"/>
          <w:sz w:val="20"/>
          <w:szCs w:val="20"/>
        </w:rPr>
      </w:pPr>
      <w:r w:rsidRPr="00020EA6">
        <w:rPr>
          <w:rFonts w:ascii="Cambria" w:hAnsi="Cambria"/>
          <w:iCs/>
          <w:color w:val="000000" w:themeColor="text1"/>
          <w:sz w:val="20"/>
          <w:szCs w:val="20"/>
        </w:rPr>
        <w:t>Source: Productivity Commission, Report on Government Services 2026, Courts, Table 7A.22</w:t>
      </w:r>
    </w:p>
    <w:p w14:paraId="11F781F7" w14:textId="77777777" w:rsidR="00020EA6" w:rsidRDefault="00020EA6" w:rsidP="00861525">
      <w:pPr>
        <w:pStyle w:val="NoSpacing"/>
        <w:jc w:val="both"/>
        <w:rPr>
          <w:rFonts w:ascii="Cambria" w:hAnsi="Cambria"/>
          <w:iCs/>
          <w:color w:val="000000" w:themeColor="text1"/>
          <w:sz w:val="24"/>
          <w:szCs w:val="24"/>
        </w:rPr>
      </w:pPr>
    </w:p>
    <w:p w14:paraId="6C6BDA67" w14:textId="2450D008" w:rsidR="00020EA6" w:rsidRPr="00A23543" w:rsidRDefault="00566C35" w:rsidP="00861525">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As well, t</w:t>
      </w:r>
      <w:r w:rsidR="00020EA6" w:rsidRPr="00A23543">
        <w:rPr>
          <w:rFonts w:ascii="Cambria" w:hAnsi="Cambria"/>
          <w:iCs/>
          <w:color w:val="000000" w:themeColor="text1"/>
          <w:sz w:val="23"/>
          <w:szCs w:val="23"/>
        </w:rPr>
        <w:t>he Productivity Commission</w:t>
      </w:r>
      <w:r w:rsidRPr="00A23543">
        <w:rPr>
          <w:rFonts w:ascii="Cambria" w:hAnsi="Cambria"/>
          <w:iCs/>
          <w:color w:val="000000" w:themeColor="text1"/>
          <w:sz w:val="23"/>
          <w:szCs w:val="23"/>
        </w:rPr>
        <w:t xml:space="preserve"> </w:t>
      </w:r>
      <w:r w:rsidR="00020EA6" w:rsidRPr="00A23543">
        <w:rPr>
          <w:rFonts w:ascii="Cambria" w:hAnsi="Cambria"/>
          <w:iCs/>
          <w:color w:val="000000" w:themeColor="text1"/>
          <w:sz w:val="23"/>
          <w:szCs w:val="23"/>
        </w:rPr>
        <w:t xml:space="preserve">reports that the number of cases finalised within 12 months in Tasmania’s Magistrates Court has dropped from 84.4 per cent to 72.6 per cent </w:t>
      </w:r>
    </w:p>
    <w:p w14:paraId="615CECAD" w14:textId="77777777" w:rsidR="00020EA6" w:rsidRDefault="00020EA6" w:rsidP="00861525">
      <w:pPr>
        <w:pStyle w:val="NoSpacing"/>
        <w:jc w:val="both"/>
        <w:rPr>
          <w:rFonts w:ascii="Cambria" w:hAnsi="Cambria"/>
          <w:iCs/>
          <w:color w:val="000000" w:themeColor="text1"/>
          <w:sz w:val="24"/>
          <w:szCs w:val="24"/>
        </w:rPr>
      </w:pPr>
    </w:p>
    <w:p w14:paraId="5BC0D55D" w14:textId="055400FB" w:rsidR="00020EA6" w:rsidRDefault="00020EA6" w:rsidP="00020EA6">
      <w:pPr>
        <w:pStyle w:val="NoSpacing"/>
        <w:jc w:val="center"/>
        <w:rPr>
          <w:rFonts w:ascii="Cambria" w:hAnsi="Cambria"/>
          <w:iCs/>
          <w:color w:val="000000" w:themeColor="text1"/>
          <w:sz w:val="24"/>
          <w:szCs w:val="24"/>
        </w:rPr>
      </w:pPr>
      <w:r>
        <w:rPr>
          <w:noProof/>
          <w14:ligatures w14:val="standardContextual"/>
        </w:rPr>
        <w:drawing>
          <wp:inline distT="0" distB="0" distL="0" distR="0" wp14:anchorId="02B655C2" wp14:editId="7CCA2B51">
            <wp:extent cx="4572000" cy="2743200"/>
            <wp:effectExtent l="0" t="0" r="12700" b="12700"/>
            <wp:docPr id="1734198937" name="Chart 1">
              <a:extLst xmlns:a="http://schemas.openxmlformats.org/drawingml/2006/main">
                <a:ext uri="{FF2B5EF4-FFF2-40B4-BE49-F238E27FC236}">
                  <a16:creationId xmlns:a16="http://schemas.microsoft.com/office/drawing/2014/main" id="{69DBAB66-3A6F-1C4E-F584-2FB85E94E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E841AB" w14:textId="12E21C35" w:rsidR="00020EA6" w:rsidRPr="00020EA6" w:rsidRDefault="00020EA6" w:rsidP="00020EA6">
      <w:pPr>
        <w:pStyle w:val="NoSpacing"/>
        <w:ind w:left="993" w:right="1082"/>
        <w:jc w:val="both"/>
        <w:rPr>
          <w:rFonts w:ascii="Cambria" w:hAnsi="Cambria"/>
          <w:iCs/>
          <w:color w:val="000000" w:themeColor="text1"/>
          <w:sz w:val="20"/>
          <w:szCs w:val="20"/>
        </w:rPr>
      </w:pPr>
      <w:r w:rsidRPr="00020EA6">
        <w:rPr>
          <w:rFonts w:ascii="Cambria" w:hAnsi="Cambria"/>
          <w:iCs/>
          <w:color w:val="000000" w:themeColor="text1"/>
          <w:sz w:val="20"/>
          <w:szCs w:val="20"/>
        </w:rPr>
        <w:t>Source: Productivity Commission, Report on Government Services 2026, Courts, Table 7A.22</w:t>
      </w:r>
    </w:p>
    <w:p w14:paraId="7570FD3E" w14:textId="60234A65" w:rsidR="00020EA6" w:rsidRPr="00A23543" w:rsidRDefault="00020EA6" w:rsidP="00861525">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lastRenderedPageBreak/>
        <w:t>The</w:t>
      </w:r>
      <w:r w:rsidR="00424FD3" w:rsidRPr="00A23543">
        <w:rPr>
          <w:rFonts w:ascii="Cambria" w:hAnsi="Cambria"/>
          <w:iCs/>
          <w:color w:val="000000" w:themeColor="text1"/>
          <w:sz w:val="23"/>
          <w:szCs w:val="23"/>
        </w:rPr>
        <w:t xml:space="preserve"> </w:t>
      </w:r>
      <w:r w:rsidRPr="00A23543">
        <w:rPr>
          <w:rFonts w:ascii="Cambria" w:hAnsi="Cambria"/>
          <w:iCs/>
          <w:color w:val="000000" w:themeColor="text1"/>
          <w:sz w:val="23"/>
          <w:szCs w:val="23"/>
        </w:rPr>
        <w:t xml:space="preserve">data </w:t>
      </w:r>
      <w:r w:rsidR="00424FD3" w:rsidRPr="00A23543">
        <w:rPr>
          <w:rFonts w:ascii="Cambria" w:hAnsi="Cambria"/>
          <w:iCs/>
          <w:color w:val="000000" w:themeColor="text1"/>
          <w:sz w:val="23"/>
          <w:szCs w:val="23"/>
        </w:rPr>
        <w:t xml:space="preserve">noted </w:t>
      </w:r>
      <w:r w:rsidRPr="00A23543">
        <w:rPr>
          <w:rFonts w:ascii="Cambria" w:hAnsi="Cambria"/>
          <w:iCs/>
          <w:color w:val="000000" w:themeColor="text1"/>
          <w:sz w:val="23"/>
          <w:szCs w:val="23"/>
        </w:rPr>
        <w:t>above is particularly noteworthy because</w:t>
      </w:r>
      <w:r w:rsidR="00F44534">
        <w:rPr>
          <w:rFonts w:ascii="Cambria" w:hAnsi="Cambria"/>
          <w:iCs/>
          <w:color w:val="000000" w:themeColor="text1"/>
          <w:sz w:val="23"/>
          <w:szCs w:val="23"/>
        </w:rPr>
        <w:t xml:space="preserve">, </w:t>
      </w:r>
      <w:r w:rsidRPr="00A23543">
        <w:rPr>
          <w:rFonts w:ascii="Cambria" w:hAnsi="Cambria"/>
          <w:iCs/>
          <w:color w:val="000000" w:themeColor="text1"/>
          <w:sz w:val="23"/>
          <w:szCs w:val="23"/>
        </w:rPr>
        <w:t>but for the Victorian outlier in 2020-21 and 2021-22, Tasmania has had</w:t>
      </w:r>
      <w:r w:rsidR="00B75178" w:rsidRPr="00A23543">
        <w:rPr>
          <w:rFonts w:ascii="Cambria" w:hAnsi="Cambria"/>
          <w:iCs/>
          <w:color w:val="000000" w:themeColor="text1"/>
          <w:sz w:val="23"/>
          <w:szCs w:val="23"/>
        </w:rPr>
        <w:t xml:space="preserve"> </w:t>
      </w:r>
      <w:r w:rsidRPr="00A23543">
        <w:rPr>
          <w:rFonts w:ascii="Cambria" w:hAnsi="Cambria"/>
          <w:iCs/>
          <w:color w:val="000000" w:themeColor="text1"/>
          <w:sz w:val="23"/>
          <w:szCs w:val="23"/>
        </w:rPr>
        <w:t>the worst Magistrates Court finalisation rates of any State or Territory in Australia.</w:t>
      </w:r>
      <w:r w:rsidRPr="00A23543">
        <w:rPr>
          <w:rStyle w:val="FootnoteReference"/>
          <w:rFonts w:ascii="Cambria" w:hAnsi="Cambria"/>
          <w:iCs/>
          <w:color w:val="000000" w:themeColor="text1"/>
          <w:sz w:val="23"/>
          <w:szCs w:val="23"/>
        </w:rPr>
        <w:footnoteReference w:id="6"/>
      </w:r>
    </w:p>
    <w:p w14:paraId="26D50E3E" w14:textId="77777777" w:rsidR="00740CD7" w:rsidRPr="00A23543" w:rsidRDefault="00740CD7" w:rsidP="00861525">
      <w:pPr>
        <w:pStyle w:val="NoSpacing"/>
        <w:jc w:val="both"/>
        <w:rPr>
          <w:rFonts w:ascii="Cambria" w:hAnsi="Cambria"/>
          <w:iCs/>
          <w:color w:val="000000" w:themeColor="text1"/>
          <w:sz w:val="23"/>
          <w:szCs w:val="23"/>
        </w:rPr>
      </w:pPr>
    </w:p>
    <w:p w14:paraId="6CFCC428" w14:textId="4FFFE3DA" w:rsidR="00861525" w:rsidRPr="00A23543" w:rsidRDefault="00861525" w:rsidP="00861525">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Whilst it must be acknowledged that over the last decade</w:t>
      </w:r>
      <w:r w:rsidR="00020EA6" w:rsidRPr="00A23543">
        <w:rPr>
          <w:rFonts w:ascii="Cambria" w:hAnsi="Cambria"/>
          <w:iCs/>
          <w:color w:val="000000" w:themeColor="text1"/>
          <w:sz w:val="23"/>
          <w:szCs w:val="23"/>
        </w:rPr>
        <w:t xml:space="preserve">, Magistrates Courts in </w:t>
      </w:r>
      <w:r w:rsidRPr="00A23543">
        <w:rPr>
          <w:rFonts w:ascii="Cambria" w:hAnsi="Cambria"/>
          <w:iCs/>
          <w:color w:val="000000" w:themeColor="text1"/>
          <w:sz w:val="23"/>
          <w:szCs w:val="23"/>
        </w:rPr>
        <w:t xml:space="preserve">all States and Territories </w:t>
      </w:r>
      <w:r w:rsidR="00020EA6" w:rsidRPr="00A23543">
        <w:rPr>
          <w:rFonts w:ascii="Cambria" w:hAnsi="Cambria"/>
          <w:iCs/>
          <w:color w:val="000000" w:themeColor="text1"/>
          <w:sz w:val="23"/>
          <w:szCs w:val="23"/>
        </w:rPr>
        <w:t>have experienced declines in the number of</w:t>
      </w:r>
      <w:r w:rsidRPr="00A23543">
        <w:rPr>
          <w:rFonts w:ascii="Cambria" w:hAnsi="Cambria"/>
          <w:iCs/>
          <w:color w:val="000000" w:themeColor="text1"/>
          <w:sz w:val="23"/>
          <w:szCs w:val="23"/>
        </w:rPr>
        <w:t xml:space="preserve"> cases </w:t>
      </w:r>
      <w:r w:rsidR="00020EA6" w:rsidRPr="00A23543">
        <w:rPr>
          <w:rFonts w:ascii="Cambria" w:hAnsi="Cambria"/>
          <w:iCs/>
          <w:color w:val="000000" w:themeColor="text1"/>
          <w:sz w:val="23"/>
          <w:szCs w:val="23"/>
        </w:rPr>
        <w:t xml:space="preserve">finalised </w:t>
      </w:r>
      <w:r w:rsidRPr="00A23543">
        <w:rPr>
          <w:rFonts w:ascii="Cambria" w:hAnsi="Cambria"/>
          <w:iCs/>
          <w:color w:val="000000" w:themeColor="text1"/>
          <w:sz w:val="23"/>
          <w:szCs w:val="23"/>
        </w:rPr>
        <w:t>within 12 months, the decline has been most significant in Tasmania</w:t>
      </w:r>
      <w:r w:rsidR="00020EA6" w:rsidRPr="00A23543">
        <w:rPr>
          <w:rFonts w:ascii="Cambria" w:hAnsi="Cambria"/>
          <w:iCs/>
          <w:color w:val="000000" w:themeColor="text1"/>
          <w:sz w:val="23"/>
          <w:szCs w:val="23"/>
        </w:rPr>
        <w:t xml:space="preserve"> as the following graph highlights</w:t>
      </w:r>
      <w:r w:rsidRPr="00A23543">
        <w:rPr>
          <w:rFonts w:ascii="Cambria" w:hAnsi="Cambria"/>
          <w:iCs/>
          <w:color w:val="000000" w:themeColor="text1"/>
          <w:sz w:val="23"/>
          <w:szCs w:val="23"/>
        </w:rPr>
        <w:t xml:space="preserve">. </w:t>
      </w:r>
    </w:p>
    <w:p w14:paraId="25DACF8A" w14:textId="77777777" w:rsidR="00020EA6" w:rsidRDefault="00020EA6" w:rsidP="00861525">
      <w:pPr>
        <w:pStyle w:val="NoSpacing"/>
        <w:jc w:val="both"/>
        <w:rPr>
          <w:rFonts w:ascii="Cambria" w:hAnsi="Cambria"/>
          <w:iCs/>
          <w:color w:val="000000" w:themeColor="text1"/>
          <w:sz w:val="24"/>
          <w:szCs w:val="24"/>
        </w:rPr>
      </w:pPr>
    </w:p>
    <w:p w14:paraId="24743ADB" w14:textId="799C2946" w:rsidR="00020EA6" w:rsidRPr="00D90352" w:rsidRDefault="00020EA6" w:rsidP="00020EA6">
      <w:pPr>
        <w:pStyle w:val="NoSpacing"/>
        <w:jc w:val="center"/>
        <w:rPr>
          <w:rFonts w:ascii="Cambria" w:hAnsi="Cambria"/>
          <w:iCs/>
          <w:color w:val="000000" w:themeColor="text1"/>
          <w:sz w:val="24"/>
          <w:szCs w:val="24"/>
        </w:rPr>
      </w:pPr>
      <w:r>
        <w:rPr>
          <w:noProof/>
          <w14:ligatures w14:val="standardContextual"/>
        </w:rPr>
        <w:drawing>
          <wp:inline distT="0" distB="0" distL="0" distR="0" wp14:anchorId="76E84A94" wp14:editId="61BCFC24">
            <wp:extent cx="4572000" cy="3307327"/>
            <wp:effectExtent l="0" t="0" r="12700" b="7620"/>
            <wp:docPr id="2093791659" name="Chart 1">
              <a:extLst xmlns:a="http://schemas.openxmlformats.org/drawingml/2006/main">
                <a:ext uri="{FF2B5EF4-FFF2-40B4-BE49-F238E27FC236}">
                  <a16:creationId xmlns:a16="http://schemas.microsoft.com/office/drawing/2014/main" id="{D5CCF391-3ACA-6F72-3CC0-0B7981CF0A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5F8920" w14:textId="77777777" w:rsidR="00020EA6" w:rsidRPr="00020EA6" w:rsidRDefault="00020EA6" w:rsidP="00020EA6">
      <w:pPr>
        <w:pStyle w:val="NoSpacing"/>
        <w:ind w:left="993" w:right="1082"/>
        <w:jc w:val="both"/>
        <w:rPr>
          <w:rFonts w:ascii="Cambria" w:hAnsi="Cambria"/>
          <w:iCs/>
          <w:color w:val="000000" w:themeColor="text1"/>
          <w:sz w:val="20"/>
          <w:szCs w:val="20"/>
        </w:rPr>
      </w:pPr>
      <w:r w:rsidRPr="00020EA6">
        <w:rPr>
          <w:rFonts w:ascii="Cambria" w:hAnsi="Cambria"/>
          <w:iCs/>
          <w:color w:val="000000" w:themeColor="text1"/>
          <w:sz w:val="20"/>
          <w:szCs w:val="20"/>
        </w:rPr>
        <w:t>Source: Productivity Commission, Report on Government Services 2026, Courts, Table 7A.22</w:t>
      </w:r>
    </w:p>
    <w:p w14:paraId="04D7FC75" w14:textId="77777777" w:rsidR="00861525" w:rsidRDefault="00861525" w:rsidP="00D90352">
      <w:pPr>
        <w:pStyle w:val="NoSpacing"/>
        <w:jc w:val="both"/>
        <w:rPr>
          <w:rFonts w:ascii="Cambria" w:hAnsi="Cambria"/>
          <w:iCs/>
          <w:color w:val="000000" w:themeColor="text1"/>
          <w:sz w:val="24"/>
          <w:szCs w:val="24"/>
        </w:rPr>
      </w:pPr>
    </w:p>
    <w:p w14:paraId="406E3A9E" w14:textId="2BD37BD7" w:rsidR="00424FD3" w:rsidRPr="00A23543" w:rsidRDefault="00424FD3" w:rsidP="00D90352">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 xml:space="preserve">Similar data is </w:t>
      </w:r>
      <w:r w:rsidR="00566C35" w:rsidRPr="00A23543">
        <w:rPr>
          <w:rFonts w:ascii="Cambria" w:hAnsi="Cambria"/>
          <w:iCs/>
          <w:color w:val="000000" w:themeColor="text1"/>
          <w:sz w:val="23"/>
          <w:szCs w:val="23"/>
        </w:rPr>
        <w:t>found</w:t>
      </w:r>
      <w:r w:rsidRPr="00A23543">
        <w:rPr>
          <w:rFonts w:ascii="Cambria" w:hAnsi="Cambria"/>
          <w:iCs/>
          <w:color w:val="000000" w:themeColor="text1"/>
          <w:sz w:val="23"/>
          <w:szCs w:val="23"/>
        </w:rPr>
        <w:t xml:space="preserve"> in the Supreme Court </w:t>
      </w:r>
      <w:r w:rsidR="00566C35" w:rsidRPr="00A23543">
        <w:rPr>
          <w:rFonts w:ascii="Cambria" w:hAnsi="Cambria"/>
          <w:iCs/>
          <w:color w:val="000000" w:themeColor="text1"/>
          <w:sz w:val="23"/>
          <w:szCs w:val="23"/>
        </w:rPr>
        <w:t>with the Productivity Commission reporting that</w:t>
      </w:r>
      <w:r w:rsidRPr="00A23543">
        <w:rPr>
          <w:rFonts w:ascii="Cambria" w:hAnsi="Cambria"/>
          <w:iCs/>
          <w:color w:val="000000" w:themeColor="text1"/>
          <w:sz w:val="23"/>
          <w:szCs w:val="23"/>
        </w:rPr>
        <w:t xml:space="preserve"> Tasmania rank</w:t>
      </w:r>
      <w:r w:rsidR="00740CD7" w:rsidRPr="00A23543">
        <w:rPr>
          <w:rFonts w:ascii="Cambria" w:hAnsi="Cambria"/>
          <w:iCs/>
          <w:color w:val="000000" w:themeColor="text1"/>
          <w:sz w:val="23"/>
          <w:szCs w:val="23"/>
        </w:rPr>
        <w:t xml:space="preserve">s consistently </w:t>
      </w:r>
      <w:r w:rsidRPr="00A23543">
        <w:rPr>
          <w:rFonts w:ascii="Cambria" w:hAnsi="Cambria"/>
          <w:iCs/>
          <w:color w:val="000000" w:themeColor="text1"/>
          <w:sz w:val="23"/>
          <w:szCs w:val="23"/>
        </w:rPr>
        <w:t xml:space="preserve">amongst the </w:t>
      </w:r>
      <w:r w:rsidR="00B75178" w:rsidRPr="00A23543">
        <w:rPr>
          <w:rFonts w:ascii="Cambria" w:hAnsi="Cambria"/>
          <w:iCs/>
          <w:color w:val="000000" w:themeColor="text1"/>
          <w:sz w:val="23"/>
          <w:szCs w:val="23"/>
        </w:rPr>
        <w:t xml:space="preserve">jurisdictions with the </w:t>
      </w:r>
      <w:r w:rsidRPr="00A23543">
        <w:rPr>
          <w:rFonts w:ascii="Cambria" w:hAnsi="Cambria"/>
          <w:iCs/>
          <w:color w:val="000000" w:themeColor="text1"/>
          <w:sz w:val="23"/>
          <w:szCs w:val="23"/>
        </w:rPr>
        <w:t xml:space="preserve">lowest </w:t>
      </w:r>
      <w:r w:rsidR="00B75178" w:rsidRPr="00A23543">
        <w:rPr>
          <w:rFonts w:ascii="Cambria" w:hAnsi="Cambria"/>
          <w:iCs/>
          <w:color w:val="000000" w:themeColor="text1"/>
          <w:sz w:val="23"/>
          <w:szCs w:val="23"/>
        </w:rPr>
        <w:t xml:space="preserve">finalisation rates </w:t>
      </w:r>
      <w:r w:rsidR="00F44534">
        <w:rPr>
          <w:rFonts w:ascii="Cambria" w:hAnsi="Cambria"/>
          <w:iCs/>
          <w:color w:val="000000" w:themeColor="text1"/>
          <w:sz w:val="23"/>
          <w:szCs w:val="23"/>
        </w:rPr>
        <w:t xml:space="preserve">within 12 months </w:t>
      </w:r>
      <w:r w:rsidRPr="00A23543">
        <w:rPr>
          <w:rFonts w:ascii="Cambria" w:hAnsi="Cambria"/>
          <w:iCs/>
          <w:color w:val="000000" w:themeColor="text1"/>
          <w:sz w:val="23"/>
          <w:szCs w:val="23"/>
        </w:rPr>
        <w:t xml:space="preserve">in Australia. </w:t>
      </w:r>
    </w:p>
    <w:p w14:paraId="1FF39425" w14:textId="77777777" w:rsidR="00424FD3" w:rsidRDefault="00424FD3" w:rsidP="00D90352">
      <w:pPr>
        <w:pStyle w:val="NoSpacing"/>
        <w:jc w:val="both"/>
        <w:rPr>
          <w:rFonts w:ascii="Cambria" w:hAnsi="Cambria"/>
          <w:iCs/>
          <w:color w:val="000000" w:themeColor="text1"/>
          <w:sz w:val="24"/>
          <w:szCs w:val="24"/>
        </w:rPr>
      </w:pPr>
    </w:p>
    <w:p w14:paraId="63D7B59F" w14:textId="1BDC5899" w:rsidR="00020EA6" w:rsidRDefault="00424FD3" w:rsidP="00424FD3">
      <w:pPr>
        <w:pStyle w:val="NoSpacing"/>
        <w:jc w:val="center"/>
        <w:rPr>
          <w:rFonts w:ascii="Cambria" w:hAnsi="Cambria"/>
          <w:iCs/>
          <w:color w:val="000000" w:themeColor="text1"/>
          <w:sz w:val="24"/>
          <w:szCs w:val="24"/>
        </w:rPr>
      </w:pPr>
      <w:r>
        <w:rPr>
          <w:noProof/>
          <w14:ligatures w14:val="standardContextual"/>
        </w:rPr>
        <w:lastRenderedPageBreak/>
        <w:drawing>
          <wp:inline distT="0" distB="0" distL="0" distR="0" wp14:anchorId="7C0A40CF" wp14:editId="30652FD3">
            <wp:extent cx="4572000" cy="2743200"/>
            <wp:effectExtent l="0" t="0" r="12700" b="12700"/>
            <wp:docPr id="1967556045" name="Chart 1">
              <a:extLst xmlns:a="http://schemas.openxmlformats.org/drawingml/2006/main">
                <a:ext uri="{FF2B5EF4-FFF2-40B4-BE49-F238E27FC236}">
                  <a16:creationId xmlns:a16="http://schemas.microsoft.com/office/drawing/2014/main" id="{53FA841B-61B8-3BF9-2C05-E1E5117C90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728E45" w14:textId="77777777" w:rsidR="00424FD3" w:rsidRPr="00020EA6" w:rsidRDefault="00424FD3" w:rsidP="00424FD3">
      <w:pPr>
        <w:pStyle w:val="NoSpacing"/>
        <w:ind w:left="993" w:right="1082"/>
        <w:jc w:val="both"/>
        <w:rPr>
          <w:rFonts w:ascii="Cambria" w:hAnsi="Cambria"/>
          <w:iCs/>
          <w:color w:val="000000" w:themeColor="text1"/>
          <w:sz w:val="20"/>
          <w:szCs w:val="20"/>
        </w:rPr>
      </w:pPr>
      <w:r w:rsidRPr="00020EA6">
        <w:rPr>
          <w:rFonts w:ascii="Cambria" w:hAnsi="Cambria"/>
          <w:iCs/>
          <w:color w:val="000000" w:themeColor="text1"/>
          <w:sz w:val="20"/>
          <w:szCs w:val="20"/>
        </w:rPr>
        <w:t>Source: Productivity Commission, Report on Government Services 2026, Courts, Table 7A.22</w:t>
      </w:r>
    </w:p>
    <w:p w14:paraId="10FE78F2" w14:textId="77777777" w:rsidR="00424FD3" w:rsidRDefault="00424FD3" w:rsidP="00D90352">
      <w:pPr>
        <w:pStyle w:val="NoSpacing"/>
        <w:jc w:val="both"/>
        <w:rPr>
          <w:rFonts w:ascii="Cambria" w:hAnsi="Cambria"/>
          <w:iCs/>
          <w:color w:val="000000" w:themeColor="text1"/>
          <w:sz w:val="24"/>
          <w:szCs w:val="24"/>
        </w:rPr>
      </w:pPr>
    </w:p>
    <w:p w14:paraId="710CEC6A" w14:textId="54A7E43B" w:rsidR="00424FD3" w:rsidRPr="00A23543" w:rsidRDefault="00B75178" w:rsidP="00D90352">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T</w:t>
      </w:r>
      <w:r w:rsidR="00424FD3" w:rsidRPr="00A23543">
        <w:rPr>
          <w:rFonts w:ascii="Cambria" w:hAnsi="Cambria"/>
          <w:iCs/>
          <w:color w:val="000000" w:themeColor="text1"/>
          <w:sz w:val="23"/>
          <w:szCs w:val="23"/>
        </w:rPr>
        <w:t>he</w:t>
      </w:r>
      <w:r w:rsidR="00566C35" w:rsidRPr="00A23543">
        <w:rPr>
          <w:rFonts w:ascii="Cambria" w:hAnsi="Cambria"/>
          <w:iCs/>
          <w:color w:val="000000" w:themeColor="text1"/>
          <w:sz w:val="23"/>
          <w:szCs w:val="23"/>
        </w:rPr>
        <w:t xml:space="preserve"> </w:t>
      </w:r>
      <w:r w:rsidR="00424FD3" w:rsidRPr="00A23543">
        <w:rPr>
          <w:rFonts w:ascii="Cambria" w:hAnsi="Cambria"/>
          <w:iCs/>
          <w:color w:val="000000" w:themeColor="text1"/>
          <w:sz w:val="23"/>
          <w:szCs w:val="23"/>
        </w:rPr>
        <w:t xml:space="preserve">data is particularly </w:t>
      </w:r>
      <w:r w:rsidR="00566C35" w:rsidRPr="00A23543">
        <w:rPr>
          <w:rFonts w:ascii="Cambria" w:hAnsi="Cambria"/>
          <w:iCs/>
          <w:color w:val="000000" w:themeColor="text1"/>
          <w:sz w:val="23"/>
          <w:szCs w:val="23"/>
        </w:rPr>
        <w:t>glaring</w:t>
      </w:r>
      <w:r w:rsidR="00424FD3" w:rsidRPr="00A23543">
        <w:rPr>
          <w:rFonts w:ascii="Cambria" w:hAnsi="Cambria"/>
          <w:iCs/>
          <w:color w:val="000000" w:themeColor="text1"/>
          <w:sz w:val="23"/>
          <w:szCs w:val="23"/>
        </w:rPr>
        <w:t xml:space="preserve"> for Supreme Court cases finalised within 24 months as the following graph highlights. </w:t>
      </w:r>
    </w:p>
    <w:p w14:paraId="03C4E3FF" w14:textId="77777777" w:rsidR="00424FD3" w:rsidRDefault="00424FD3" w:rsidP="00D90352">
      <w:pPr>
        <w:pStyle w:val="NoSpacing"/>
        <w:jc w:val="both"/>
        <w:rPr>
          <w:rFonts w:ascii="Cambria" w:hAnsi="Cambria"/>
          <w:iCs/>
          <w:color w:val="000000" w:themeColor="text1"/>
          <w:sz w:val="24"/>
          <w:szCs w:val="24"/>
        </w:rPr>
      </w:pPr>
    </w:p>
    <w:p w14:paraId="37B33BA4" w14:textId="2570F4EA" w:rsidR="00424FD3" w:rsidRDefault="00424FD3" w:rsidP="00424FD3">
      <w:pPr>
        <w:pStyle w:val="NoSpacing"/>
        <w:jc w:val="center"/>
        <w:rPr>
          <w:rFonts w:ascii="Cambria" w:hAnsi="Cambria"/>
          <w:iCs/>
          <w:color w:val="000000" w:themeColor="text1"/>
          <w:sz w:val="24"/>
          <w:szCs w:val="24"/>
        </w:rPr>
      </w:pPr>
      <w:r>
        <w:rPr>
          <w:noProof/>
          <w14:ligatures w14:val="standardContextual"/>
        </w:rPr>
        <w:drawing>
          <wp:inline distT="0" distB="0" distL="0" distR="0" wp14:anchorId="797074EB" wp14:editId="6A425940">
            <wp:extent cx="4572000" cy="2743200"/>
            <wp:effectExtent l="0" t="0" r="12700" b="12700"/>
            <wp:docPr id="2016321814" name="Chart 1">
              <a:extLst xmlns:a="http://schemas.openxmlformats.org/drawingml/2006/main">
                <a:ext uri="{FF2B5EF4-FFF2-40B4-BE49-F238E27FC236}">
                  <a16:creationId xmlns:a16="http://schemas.microsoft.com/office/drawing/2014/main" id="{F23A3A9A-C06A-EB24-0C6E-074AF8785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637583" w14:textId="77777777" w:rsidR="00424FD3" w:rsidRPr="00020EA6" w:rsidRDefault="00424FD3" w:rsidP="00424FD3">
      <w:pPr>
        <w:pStyle w:val="NoSpacing"/>
        <w:ind w:left="993" w:right="1082"/>
        <w:jc w:val="both"/>
        <w:rPr>
          <w:rFonts w:ascii="Cambria" w:hAnsi="Cambria"/>
          <w:iCs/>
          <w:color w:val="000000" w:themeColor="text1"/>
          <w:sz w:val="20"/>
          <w:szCs w:val="20"/>
        </w:rPr>
      </w:pPr>
      <w:r w:rsidRPr="00020EA6">
        <w:rPr>
          <w:rFonts w:ascii="Cambria" w:hAnsi="Cambria"/>
          <w:iCs/>
          <w:color w:val="000000" w:themeColor="text1"/>
          <w:sz w:val="20"/>
          <w:szCs w:val="20"/>
        </w:rPr>
        <w:t>Source: Productivity Commission, Report on Government Services 2026, Courts, Table 7A.22</w:t>
      </w:r>
    </w:p>
    <w:p w14:paraId="721FC207" w14:textId="77777777" w:rsidR="00424FD3" w:rsidRDefault="00424FD3" w:rsidP="00D90352">
      <w:pPr>
        <w:pStyle w:val="NoSpacing"/>
        <w:jc w:val="both"/>
        <w:rPr>
          <w:rFonts w:ascii="Cambria" w:hAnsi="Cambria"/>
          <w:iCs/>
          <w:color w:val="000000" w:themeColor="text1"/>
          <w:sz w:val="24"/>
          <w:szCs w:val="24"/>
        </w:rPr>
      </w:pPr>
    </w:p>
    <w:p w14:paraId="0177C93C" w14:textId="1E584DA5" w:rsidR="00B75178" w:rsidRPr="00B75178" w:rsidRDefault="00B75178" w:rsidP="00B75178">
      <w:pPr>
        <w:pStyle w:val="NoSpacing"/>
        <w:numPr>
          <w:ilvl w:val="0"/>
          <w:numId w:val="1"/>
        </w:numPr>
        <w:jc w:val="both"/>
        <w:rPr>
          <w:rFonts w:ascii="Cambria" w:hAnsi="Cambria"/>
          <w:b/>
          <w:bCs/>
          <w:i/>
          <w:color w:val="000000" w:themeColor="text1"/>
          <w:sz w:val="24"/>
          <w:szCs w:val="24"/>
        </w:rPr>
      </w:pPr>
      <w:r w:rsidRPr="00B75178">
        <w:rPr>
          <w:rFonts w:ascii="Cambria" w:hAnsi="Cambria"/>
          <w:b/>
          <w:bCs/>
          <w:i/>
          <w:color w:val="000000" w:themeColor="text1"/>
          <w:sz w:val="24"/>
          <w:szCs w:val="24"/>
        </w:rPr>
        <w:t>Judicial Officers</w:t>
      </w:r>
    </w:p>
    <w:p w14:paraId="78266745" w14:textId="662FD5E8" w:rsidR="00424FD3" w:rsidRPr="00A23543" w:rsidRDefault="00424FD3" w:rsidP="00D90352">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 xml:space="preserve">A factor that does not appear to be the cause of the backlog is the number of judicial officers </w:t>
      </w:r>
      <w:r w:rsidR="00B75178" w:rsidRPr="00A23543">
        <w:rPr>
          <w:rFonts w:ascii="Cambria" w:hAnsi="Cambria"/>
          <w:iCs/>
          <w:color w:val="000000" w:themeColor="text1"/>
          <w:sz w:val="23"/>
          <w:szCs w:val="23"/>
        </w:rPr>
        <w:t xml:space="preserve">employed, </w:t>
      </w:r>
      <w:r w:rsidRPr="00A23543">
        <w:rPr>
          <w:rFonts w:ascii="Cambria" w:hAnsi="Cambria"/>
          <w:iCs/>
          <w:color w:val="000000" w:themeColor="text1"/>
          <w:sz w:val="23"/>
          <w:szCs w:val="23"/>
        </w:rPr>
        <w:t xml:space="preserve">with Tasmania consistently meeting the Australian average in both </w:t>
      </w:r>
      <w:r w:rsidR="00B75178" w:rsidRPr="00A23543">
        <w:rPr>
          <w:rFonts w:ascii="Cambria" w:hAnsi="Cambria"/>
          <w:iCs/>
          <w:color w:val="000000" w:themeColor="text1"/>
          <w:sz w:val="23"/>
          <w:szCs w:val="23"/>
        </w:rPr>
        <w:t>criminal and civil hearings</w:t>
      </w:r>
      <w:r w:rsidR="00566C35" w:rsidRPr="00A23543">
        <w:rPr>
          <w:rFonts w:ascii="Cambria" w:hAnsi="Cambria"/>
          <w:iCs/>
          <w:color w:val="000000" w:themeColor="text1"/>
          <w:sz w:val="23"/>
          <w:szCs w:val="23"/>
        </w:rPr>
        <w:t xml:space="preserve"> as outlined in the following graph</w:t>
      </w:r>
      <w:r w:rsidRPr="00A23543">
        <w:rPr>
          <w:rFonts w:ascii="Cambria" w:hAnsi="Cambria"/>
          <w:iCs/>
          <w:color w:val="000000" w:themeColor="text1"/>
          <w:sz w:val="23"/>
          <w:szCs w:val="23"/>
        </w:rPr>
        <w:t>.</w:t>
      </w:r>
    </w:p>
    <w:p w14:paraId="0F4B9453" w14:textId="77777777" w:rsidR="00740772" w:rsidRDefault="00740772" w:rsidP="00D90352">
      <w:pPr>
        <w:pStyle w:val="NoSpacing"/>
        <w:jc w:val="both"/>
        <w:rPr>
          <w:rFonts w:ascii="Cambria" w:hAnsi="Cambria"/>
          <w:iCs/>
          <w:color w:val="000000" w:themeColor="text1"/>
          <w:sz w:val="24"/>
          <w:szCs w:val="24"/>
        </w:rPr>
      </w:pPr>
    </w:p>
    <w:p w14:paraId="04F8C2F6" w14:textId="77777777" w:rsidR="00A23543" w:rsidRDefault="00A23543" w:rsidP="00D90352">
      <w:pPr>
        <w:pStyle w:val="NoSpacing"/>
        <w:jc w:val="both"/>
        <w:rPr>
          <w:rFonts w:ascii="Cambria" w:hAnsi="Cambria"/>
          <w:iCs/>
          <w:color w:val="000000" w:themeColor="text1"/>
          <w:sz w:val="24"/>
          <w:szCs w:val="24"/>
        </w:rPr>
      </w:pPr>
    </w:p>
    <w:p w14:paraId="25E79D52" w14:textId="77777777" w:rsidR="00A23543" w:rsidRDefault="00A23543" w:rsidP="00D90352">
      <w:pPr>
        <w:pStyle w:val="NoSpacing"/>
        <w:jc w:val="both"/>
        <w:rPr>
          <w:rFonts w:ascii="Cambria" w:hAnsi="Cambria"/>
          <w:iCs/>
          <w:color w:val="000000" w:themeColor="text1"/>
          <w:sz w:val="24"/>
          <w:szCs w:val="24"/>
        </w:rPr>
      </w:pPr>
    </w:p>
    <w:p w14:paraId="1178A278" w14:textId="77777777" w:rsidR="00A23543" w:rsidRDefault="00A23543" w:rsidP="00D90352">
      <w:pPr>
        <w:pStyle w:val="NoSpacing"/>
        <w:jc w:val="both"/>
        <w:rPr>
          <w:rFonts w:ascii="Cambria" w:hAnsi="Cambria"/>
          <w:iCs/>
          <w:color w:val="000000" w:themeColor="text1"/>
          <w:sz w:val="24"/>
          <w:szCs w:val="24"/>
        </w:rPr>
      </w:pPr>
    </w:p>
    <w:p w14:paraId="27A8B2EA" w14:textId="77777777" w:rsidR="00A23543" w:rsidRDefault="00A23543" w:rsidP="00D90352">
      <w:pPr>
        <w:pStyle w:val="NoSpacing"/>
        <w:jc w:val="both"/>
        <w:rPr>
          <w:rFonts w:ascii="Cambria" w:hAnsi="Cambria"/>
          <w:iCs/>
          <w:color w:val="000000" w:themeColor="text1"/>
          <w:sz w:val="24"/>
          <w:szCs w:val="24"/>
        </w:rPr>
      </w:pPr>
    </w:p>
    <w:p w14:paraId="0FB179BF" w14:textId="77777777" w:rsidR="00A23543" w:rsidRDefault="00A23543" w:rsidP="00D90352">
      <w:pPr>
        <w:pStyle w:val="NoSpacing"/>
        <w:jc w:val="both"/>
        <w:rPr>
          <w:rFonts w:ascii="Cambria" w:hAnsi="Cambria"/>
          <w:iCs/>
          <w:color w:val="000000" w:themeColor="text1"/>
          <w:sz w:val="24"/>
          <w:szCs w:val="24"/>
        </w:rPr>
      </w:pPr>
    </w:p>
    <w:p w14:paraId="2490E90D" w14:textId="77777777" w:rsidR="00740772" w:rsidRPr="00A23543" w:rsidRDefault="00740772" w:rsidP="00740772">
      <w:pPr>
        <w:pStyle w:val="NoSpacing"/>
        <w:jc w:val="center"/>
        <w:rPr>
          <w:rFonts w:ascii="Cambria" w:hAnsi="Cambria"/>
          <w:b/>
          <w:bCs/>
          <w:iCs/>
          <w:color w:val="000000" w:themeColor="text1"/>
          <w:sz w:val="23"/>
          <w:szCs w:val="23"/>
        </w:rPr>
      </w:pPr>
      <w:r w:rsidRPr="00A23543">
        <w:rPr>
          <w:rFonts w:ascii="Cambria" w:hAnsi="Cambria"/>
          <w:b/>
          <w:bCs/>
          <w:iCs/>
          <w:color w:val="000000" w:themeColor="text1"/>
          <w:sz w:val="23"/>
          <w:szCs w:val="23"/>
        </w:rPr>
        <w:lastRenderedPageBreak/>
        <w:t xml:space="preserve">Number of FTE judicial officers per 1,000 finalisations -  </w:t>
      </w:r>
    </w:p>
    <w:p w14:paraId="66494B59" w14:textId="6E88FF1F" w:rsidR="00740772" w:rsidRPr="00A23543" w:rsidRDefault="00740772" w:rsidP="00740772">
      <w:pPr>
        <w:pStyle w:val="NoSpacing"/>
        <w:jc w:val="center"/>
        <w:rPr>
          <w:rFonts w:ascii="Cambria" w:hAnsi="Cambria"/>
          <w:b/>
          <w:bCs/>
          <w:iCs/>
          <w:color w:val="000000" w:themeColor="text1"/>
          <w:sz w:val="23"/>
          <w:szCs w:val="23"/>
        </w:rPr>
      </w:pPr>
      <w:r w:rsidRPr="00A23543">
        <w:rPr>
          <w:rFonts w:ascii="Cambria" w:hAnsi="Cambria"/>
          <w:b/>
          <w:bCs/>
          <w:iCs/>
          <w:color w:val="000000" w:themeColor="text1"/>
          <w:sz w:val="23"/>
          <w:szCs w:val="23"/>
        </w:rPr>
        <w:t>All Criminal and Civil Courts</w:t>
      </w:r>
    </w:p>
    <w:tbl>
      <w:tblPr>
        <w:tblStyle w:val="TableGrid"/>
        <w:tblW w:w="8110" w:type="dxa"/>
        <w:jc w:val="center"/>
        <w:tblLook w:val="04A0" w:firstRow="1" w:lastRow="0" w:firstColumn="1" w:lastColumn="0" w:noHBand="0" w:noVBand="1"/>
      </w:tblPr>
      <w:tblGrid>
        <w:gridCol w:w="1838"/>
        <w:gridCol w:w="1559"/>
        <w:gridCol w:w="1571"/>
        <w:gridCol w:w="1571"/>
        <w:gridCol w:w="1571"/>
      </w:tblGrid>
      <w:tr w:rsidR="00740772" w:rsidRPr="00A23543" w14:paraId="748DE712" w14:textId="77777777" w:rsidTr="003D1D81">
        <w:trPr>
          <w:jc w:val="center"/>
        </w:trPr>
        <w:tc>
          <w:tcPr>
            <w:tcW w:w="1838" w:type="dxa"/>
            <w:vMerge w:val="restart"/>
          </w:tcPr>
          <w:p w14:paraId="24DC74F1" w14:textId="77777777" w:rsidR="00740772" w:rsidRPr="00A23543" w:rsidRDefault="00740772" w:rsidP="003D1D81">
            <w:pPr>
              <w:pStyle w:val="NoSpacing"/>
              <w:jc w:val="both"/>
              <w:rPr>
                <w:rFonts w:ascii="Cambria" w:hAnsi="Cambria"/>
                <w:iCs/>
                <w:color w:val="000000" w:themeColor="text1"/>
                <w:sz w:val="23"/>
                <w:szCs w:val="23"/>
              </w:rPr>
            </w:pPr>
          </w:p>
        </w:tc>
        <w:tc>
          <w:tcPr>
            <w:tcW w:w="3130" w:type="dxa"/>
            <w:gridSpan w:val="2"/>
          </w:tcPr>
          <w:p w14:paraId="387F12B3" w14:textId="77777777" w:rsidR="00740772" w:rsidRPr="00A23543" w:rsidRDefault="00740772" w:rsidP="003D1D81">
            <w:pPr>
              <w:pStyle w:val="NoSpacing"/>
              <w:jc w:val="center"/>
              <w:rPr>
                <w:rFonts w:ascii="Cambria" w:hAnsi="Cambria"/>
                <w:b/>
                <w:bCs/>
                <w:iCs/>
                <w:color w:val="000000" w:themeColor="text1"/>
                <w:sz w:val="23"/>
                <w:szCs w:val="23"/>
              </w:rPr>
            </w:pPr>
            <w:r w:rsidRPr="00A23543">
              <w:rPr>
                <w:rFonts w:ascii="Cambria" w:hAnsi="Cambria"/>
                <w:b/>
                <w:bCs/>
                <w:iCs/>
                <w:color w:val="000000" w:themeColor="text1"/>
                <w:sz w:val="23"/>
                <w:szCs w:val="23"/>
              </w:rPr>
              <w:t xml:space="preserve">All Criminal Courts </w:t>
            </w:r>
          </w:p>
        </w:tc>
        <w:tc>
          <w:tcPr>
            <w:tcW w:w="3142" w:type="dxa"/>
            <w:gridSpan w:val="2"/>
          </w:tcPr>
          <w:p w14:paraId="7DFD2C00" w14:textId="77777777" w:rsidR="00740772" w:rsidRPr="00A23543" w:rsidRDefault="00740772" w:rsidP="003D1D81">
            <w:pPr>
              <w:pStyle w:val="NoSpacing"/>
              <w:jc w:val="center"/>
              <w:rPr>
                <w:rFonts w:ascii="Cambria" w:hAnsi="Cambria"/>
                <w:b/>
                <w:bCs/>
                <w:iCs/>
                <w:color w:val="000000" w:themeColor="text1"/>
                <w:sz w:val="23"/>
                <w:szCs w:val="23"/>
              </w:rPr>
            </w:pPr>
            <w:r w:rsidRPr="00A23543">
              <w:rPr>
                <w:rFonts w:ascii="Cambria" w:hAnsi="Cambria"/>
                <w:b/>
                <w:bCs/>
                <w:iCs/>
                <w:color w:val="000000" w:themeColor="text1"/>
                <w:sz w:val="23"/>
                <w:szCs w:val="23"/>
              </w:rPr>
              <w:t xml:space="preserve">All Civil Courts </w:t>
            </w:r>
          </w:p>
        </w:tc>
      </w:tr>
      <w:tr w:rsidR="00740772" w:rsidRPr="00A23543" w14:paraId="5A3B5479" w14:textId="77777777" w:rsidTr="003D1D81">
        <w:trPr>
          <w:jc w:val="center"/>
        </w:trPr>
        <w:tc>
          <w:tcPr>
            <w:tcW w:w="1838" w:type="dxa"/>
            <w:vMerge/>
          </w:tcPr>
          <w:p w14:paraId="02E68D1D" w14:textId="77777777" w:rsidR="00740772" w:rsidRPr="00A23543" w:rsidRDefault="00740772" w:rsidP="003D1D81">
            <w:pPr>
              <w:pStyle w:val="NoSpacing"/>
              <w:jc w:val="both"/>
              <w:rPr>
                <w:rFonts w:ascii="Cambria" w:hAnsi="Cambria"/>
                <w:iCs/>
                <w:color w:val="000000" w:themeColor="text1"/>
                <w:sz w:val="23"/>
                <w:szCs w:val="23"/>
              </w:rPr>
            </w:pPr>
          </w:p>
        </w:tc>
        <w:tc>
          <w:tcPr>
            <w:tcW w:w="1559" w:type="dxa"/>
          </w:tcPr>
          <w:p w14:paraId="61C0307B"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Tasmania</w:t>
            </w:r>
          </w:p>
        </w:tc>
        <w:tc>
          <w:tcPr>
            <w:tcW w:w="1571" w:type="dxa"/>
          </w:tcPr>
          <w:p w14:paraId="2510B934"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Australian average</w:t>
            </w:r>
          </w:p>
        </w:tc>
        <w:tc>
          <w:tcPr>
            <w:tcW w:w="1571" w:type="dxa"/>
          </w:tcPr>
          <w:p w14:paraId="0D9DB432"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Tasmania</w:t>
            </w:r>
          </w:p>
        </w:tc>
        <w:tc>
          <w:tcPr>
            <w:tcW w:w="1571" w:type="dxa"/>
          </w:tcPr>
          <w:p w14:paraId="76168D65"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Australian average</w:t>
            </w:r>
          </w:p>
        </w:tc>
      </w:tr>
      <w:tr w:rsidR="00740772" w:rsidRPr="00A23543" w14:paraId="573BC251" w14:textId="77777777" w:rsidTr="003D1D81">
        <w:trPr>
          <w:jc w:val="center"/>
        </w:trPr>
        <w:tc>
          <w:tcPr>
            <w:tcW w:w="1838" w:type="dxa"/>
          </w:tcPr>
          <w:p w14:paraId="31249EAB"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2015-16</w:t>
            </w:r>
          </w:p>
        </w:tc>
        <w:tc>
          <w:tcPr>
            <w:tcW w:w="1559" w:type="dxa"/>
          </w:tcPr>
          <w:p w14:paraId="64E7D17F"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571" w:type="dxa"/>
          </w:tcPr>
          <w:p w14:paraId="2C5CEB00"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571" w:type="dxa"/>
          </w:tcPr>
          <w:p w14:paraId="03B02E21"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571" w:type="dxa"/>
          </w:tcPr>
          <w:p w14:paraId="18E65446"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r>
      <w:tr w:rsidR="00740772" w:rsidRPr="00A23543" w14:paraId="1FAE8E8D" w14:textId="77777777" w:rsidTr="003D1D81">
        <w:trPr>
          <w:jc w:val="center"/>
        </w:trPr>
        <w:tc>
          <w:tcPr>
            <w:tcW w:w="1838" w:type="dxa"/>
          </w:tcPr>
          <w:p w14:paraId="2A9A82CE"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2016-17</w:t>
            </w:r>
          </w:p>
        </w:tc>
        <w:tc>
          <w:tcPr>
            <w:tcW w:w="1559" w:type="dxa"/>
          </w:tcPr>
          <w:p w14:paraId="0498E976"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0.8</w:t>
            </w:r>
          </w:p>
        </w:tc>
        <w:tc>
          <w:tcPr>
            <w:tcW w:w="1571" w:type="dxa"/>
          </w:tcPr>
          <w:p w14:paraId="7941186C"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571" w:type="dxa"/>
          </w:tcPr>
          <w:p w14:paraId="5152EF27"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571" w:type="dxa"/>
          </w:tcPr>
          <w:p w14:paraId="75AD9809"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0.8</w:t>
            </w:r>
          </w:p>
        </w:tc>
      </w:tr>
      <w:tr w:rsidR="00740772" w:rsidRPr="00A23543" w14:paraId="59C5471D" w14:textId="77777777" w:rsidTr="003D1D81">
        <w:trPr>
          <w:jc w:val="center"/>
        </w:trPr>
        <w:tc>
          <w:tcPr>
            <w:tcW w:w="1838" w:type="dxa"/>
          </w:tcPr>
          <w:p w14:paraId="069F85AD"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2017-18</w:t>
            </w:r>
          </w:p>
        </w:tc>
        <w:tc>
          <w:tcPr>
            <w:tcW w:w="1559" w:type="dxa"/>
          </w:tcPr>
          <w:p w14:paraId="30D7F825"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571" w:type="dxa"/>
          </w:tcPr>
          <w:p w14:paraId="6857630E"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571" w:type="dxa"/>
          </w:tcPr>
          <w:p w14:paraId="7B7FF217"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0.8</w:t>
            </w:r>
          </w:p>
        </w:tc>
        <w:tc>
          <w:tcPr>
            <w:tcW w:w="1571" w:type="dxa"/>
          </w:tcPr>
          <w:p w14:paraId="76774CAC"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0.8</w:t>
            </w:r>
          </w:p>
        </w:tc>
      </w:tr>
      <w:tr w:rsidR="00740772" w:rsidRPr="00A23543" w14:paraId="498885FA" w14:textId="77777777" w:rsidTr="003D1D81">
        <w:trPr>
          <w:jc w:val="center"/>
        </w:trPr>
        <w:tc>
          <w:tcPr>
            <w:tcW w:w="1838" w:type="dxa"/>
          </w:tcPr>
          <w:p w14:paraId="0045FB48"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2018-19</w:t>
            </w:r>
          </w:p>
        </w:tc>
        <w:tc>
          <w:tcPr>
            <w:tcW w:w="1559" w:type="dxa"/>
          </w:tcPr>
          <w:p w14:paraId="17C5A12C"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0.8</w:t>
            </w:r>
          </w:p>
        </w:tc>
        <w:tc>
          <w:tcPr>
            <w:tcW w:w="1571" w:type="dxa"/>
          </w:tcPr>
          <w:p w14:paraId="13C4C851"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0.8</w:t>
            </w:r>
          </w:p>
        </w:tc>
        <w:tc>
          <w:tcPr>
            <w:tcW w:w="1571" w:type="dxa"/>
          </w:tcPr>
          <w:p w14:paraId="7F457729"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0.8</w:t>
            </w:r>
          </w:p>
        </w:tc>
        <w:tc>
          <w:tcPr>
            <w:tcW w:w="1571" w:type="dxa"/>
          </w:tcPr>
          <w:p w14:paraId="26F96AF2"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0.8</w:t>
            </w:r>
          </w:p>
        </w:tc>
      </w:tr>
      <w:tr w:rsidR="00740772" w:rsidRPr="00A23543" w14:paraId="435A3CF6" w14:textId="77777777" w:rsidTr="003D1D81">
        <w:trPr>
          <w:jc w:val="center"/>
        </w:trPr>
        <w:tc>
          <w:tcPr>
            <w:tcW w:w="1838" w:type="dxa"/>
          </w:tcPr>
          <w:p w14:paraId="1588AD47"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2019-20</w:t>
            </w:r>
          </w:p>
        </w:tc>
        <w:tc>
          <w:tcPr>
            <w:tcW w:w="1559" w:type="dxa"/>
          </w:tcPr>
          <w:p w14:paraId="376C2E06"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0.9</w:t>
            </w:r>
          </w:p>
        </w:tc>
        <w:tc>
          <w:tcPr>
            <w:tcW w:w="1571" w:type="dxa"/>
          </w:tcPr>
          <w:p w14:paraId="4C2E5C9E"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0.9</w:t>
            </w:r>
          </w:p>
        </w:tc>
        <w:tc>
          <w:tcPr>
            <w:tcW w:w="1571" w:type="dxa"/>
          </w:tcPr>
          <w:p w14:paraId="29A3FB55"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0.8</w:t>
            </w:r>
          </w:p>
        </w:tc>
        <w:tc>
          <w:tcPr>
            <w:tcW w:w="1571" w:type="dxa"/>
          </w:tcPr>
          <w:p w14:paraId="12EDAEDE"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0.9</w:t>
            </w:r>
          </w:p>
        </w:tc>
      </w:tr>
      <w:tr w:rsidR="00740772" w:rsidRPr="00A23543" w14:paraId="31147828" w14:textId="77777777" w:rsidTr="003D1D81">
        <w:trPr>
          <w:jc w:val="center"/>
        </w:trPr>
        <w:tc>
          <w:tcPr>
            <w:tcW w:w="1838" w:type="dxa"/>
          </w:tcPr>
          <w:p w14:paraId="77E179B0"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2020-21</w:t>
            </w:r>
          </w:p>
        </w:tc>
        <w:tc>
          <w:tcPr>
            <w:tcW w:w="1559" w:type="dxa"/>
          </w:tcPr>
          <w:p w14:paraId="20064A5A"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0.9</w:t>
            </w:r>
          </w:p>
        </w:tc>
        <w:tc>
          <w:tcPr>
            <w:tcW w:w="1571" w:type="dxa"/>
          </w:tcPr>
          <w:p w14:paraId="2C5F2A73"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0.9</w:t>
            </w:r>
          </w:p>
        </w:tc>
        <w:tc>
          <w:tcPr>
            <w:tcW w:w="1571" w:type="dxa"/>
          </w:tcPr>
          <w:p w14:paraId="59EC49C1"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0.8</w:t>
            </w:r>
          </w:p>
        </w:tc>
        <w:tc>
          <w:tcPr>
            <w:tcW w:w="1571" w:type="dxa"/>
          </w:tcPr>
          <w:p w14:paraId="58D651FF"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0.9</w:t>
            </w:r>
          </w:p>
        </w:tc>
      </w:tr>
      <w:tr w:rsidR="00740772" w:rsidRPr="00A23543" w14:paraId="62671E44" w14:textId="77777777" w:rsidTr="003D1D81">
        <w:trPr>
          <w:jc w:val="center"/>
        </w:trPr>
        <w:tc>
          <w:tcPr>
            <w:tcW w:w="1838" w:type="dxa"/>
          </w:tcPr>
          <w:p w14:paraId="79526C2C"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2021-22</w:t>
            </w:r>
          </w:p>
        </w:tc>
        <w:tc>
          <w:tcPr>
            <w:tcW w:w="1559" w:type="dxa"/>
          </w:tcPr>
          <w:p w14:paraId="6A0CC56C"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0.9</w:t>
            </w:r>
          </w:p>
        </w:tc>
        <w:tc>
          <w:tcPr>
            <w:tcW w:w="1571" w:type="dxa"/>
          </w:tcPr>
          <w:p w14:paraId="06FEC097"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w:t>
            </w:r>
          </w:p>
        </w:tc>
        <w:tc>
          <w:tcPr>
            <w:tcW w:w="1571" w:type="dxa"/>
          </w:tcPr>
          <w:p w14:paraId="762F1A19"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1.1</w:t>
            </w:r>
          </w:p>
        </w:tc>
        <w:tc>
          <w:tcPr>
            <w:tcW w:w="1571" w:type="dxa"/>
          </w:tcPr>
          <w:p w14:paraId="08092899"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1.1</w:t>
            </w:r>
          </w:p>
        </w:tc>
      </w:tr>
      <w:tr w:rsidR="00740772" w:rsidRPr="00A23543" w14:paraId="26612478" w14:textId="77777777" w:rsidTr="003D1D81">
        <w:trPr>
          <w:jc w:val="center"/>
        </w:trPr>
        <w:tc>
          <w:tcPr>
            <w:tcW w:w="1838" w:type="dxa"/>
          </w:tcPr>
          <w:p w14:paraId="290108BF"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2022-23</w:t>
            </w:r>
          </w:p>
        </w:tc>
        <w:tc>
          <w:tcPr>
            <w:tcW w:w="1559" w:type="dxa"/>
          </w:tcPr>
          <w:p w14:paraId="27B94C66"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w:t>
            </w:r>
          </w:p>
        </w:tc>
        <w:tc>
          <w:tcPr>
            <w:tcW w:w="1571" w:type="dxa"/>
          </w:tcPr>
          <w:p w14:paraId="0AB4A3B3"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0.9</w:t>
            </w:r>
          </w:p>
        </w:tc>
        <w:tc>
          <w:tcPr>
            <w:tcW w:w="1571" w:type="dxa"/>
          </w:tcPr>
          <w:p w14:paraId="4EF8B7CF"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1.1</w:t>
            </w:r>
          </w:p>
        </w:tc>
        <w:tc>
          <w:tcPr>
            <w:tcW w:w="1571" w:type="dxa"/>
          </w:tcPr>
          <w:p w14:paraId="36B0595D"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1.1</w:t>
            </w:r>
          </w:p>
        </w:tc>
      </w:tr>
      <w:tr w:rsidR="00740772" w:rsidRPr="00A23543" w14:paraId="40EFE21F" w14:textId="77777777" w:rsidTr="003D1D81">
        <w:trPr>
          <w:jc w:val="center"/>
        </w:trPr>
        <w:tc>
          <w:tcPr>
            <w:tcW w:w="1838" w:type="dxa"/>
          </w:tcPr>
          <w:p w14:paraId="77C0E7B5"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2023-24</w:t>
            </w:r>
          </w:p>
        </w:tc>
        <w:tc>
          <w:tcPr>
            <w:tcW w:w="1559" w:type="dxa"/>
          </w:tcPr>
          <w:p w14:paraId="3E85FBF9"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w:t>
            </w:r>
          </w:p>
        </w:tc>
        <w:tc>
          <w:tcPr>
            <w:tcW w:w="1571" w:type="dxa"/>
          </w:tcPr>
          <w:p w14:paraId="3520449E"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w:t>
            </w:r>
          </w:p>
        </w:tc>
        <w:tc>
          <w:tcPr>
            <w:tcW w:w="1571" w:type="dxa"/>
          </w:tcPr>
          <w:p w14:paraId="31F52DFA"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w:t>
            </w:r>
          </w:p>
        </w:tc>
        <w:tc>
          <w:tcPr>
            <w:tcW w:w="1571" w:type="dxa"/>
          </w:tcPr>
          <w:p w14:paraId="25F19BB9"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w:t>
            </w:r>
          </w:p>
        </w:tc>
      </w:tr>
      <w:tr w:rsidR="00740772" w:rsidRPr="00A23543" w14:paraId="663A9B92" w14:textId="77777777" w:rsidTr="003D1D81">
        <w:trPr>
          <w:jc w:val="center"/>
        </w:trPr>
        <w:tc>
          <w:tcPr>
            <w:tcW w:w="1838" w:type="dxa"/>
          </w:tcPr>
          <w:p w14:paraId="4DC297E7"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2024-25</w:t>
            </w:r>
          </w:p>
        </w:tc>
        <w:tc>
          <w:tcPr>
            <w:tcW w:w="1559" w:type="dxa"/>
          </w:tcPr>
          <w:p w14:paraId="3D4A4E30"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w:t>
            </w:r>
          </w:p>
        </w:tc>
        <w:tc>
          <w:tcPr>
            <w:tcW w:w="1571" w:type="dxa"/>
          </w:tcPr>
          <w:p w14:paraId="66A65609"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w:t>
            </w:r>
          </w:p>
        </w:tc>
        <w:tc>
          <w:tcPr>
            <w:tcW w:w="1571" w:type="dxa"/>
          </w:tcPr>
          <w:p w14:paraId="163F85DE"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0.9</w:t>
            </w:r>
          </w:p>
        </w:tc>
        <w:tc>
          <w:tcPr>
            <w:tcW w:w="1571" w:type="dxa"/>
          </w:tcPr>
          <w:p w14:paraId="1DFF4D06"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w:t>
            </w:r>
          </w:p>
        </w:tc>
      </w:tr>
    </w:tbl>
    <w:p w14:paraId="716F1950" w14:textId="77777777" w:rsidR="00740772" w:rsidRPr="00020EA6" w:rsidRDefault="00740772" w:rsidP="00740772">
      <w:pPr>
        <w:pStyle w:val="NoSpacing"/>
        <w:ind w:left="720" w:right="1932"/>
        <w:jc w:val="both"/>
        <w:rPr>
          <w:rFonts w:ascii="Cambria" w:hAnsi="Cambria"/>
          <w:iCs/>
          <w:color w:val="000000" w:themeColor="text1"/>
          <w:sz w:val="20"/>
          <w:szCs w:val="20"/>
        </w:rPr>
      </w:pPr>
      <w:r w:rsidRPr="00020EA6">
        <w:rPr>
          <w:rFonts w:ascii="Cambria" w:hAnsi="Cambria"/>
          <w:iCs/>
          <w:color w:val="000000" w:themeColor="text1"/>
          <w:sz w:val="20"/>
          <w:szCs w:val="20"/>
        </w:rPr>
        <w:t>Source: Productivity Commission, Report on Government Services 2026, Courts, Table 7A.2</w:t>
      </w:r>
      <w:r>
        <w:rPr>
          <w:rFonts w:ascii="Cambria" w:hAnsi="Cambria"/>
          <w:iCs/>
          <w:color w:val="000000" w:themeColor="text1"/>
          <w:sz w:val="20"/>
          <w:szCs w:val="20"/>
        </w:rPr>
        <w:t>9</w:t>
      </w:r>
    </w:p>
    <w:p w14:paraId="21890FB6" w14:textId="77777777" w:rsidR="00424FD3" w:rsidRDefault="00424FD3" w:rsidP="00D90352">
      <w:pPr>
        <w:pStyle w:val="NoSpacing"/>
        <w:jc w:val="both"/>
        <w:rPr>
          <w:rFonts w:ascii="Cambria" w:hAnsi="Cambria"/>
          <w:iCs/>
          <w:color w:val="000000" w:themeColor="text1"/>
          <w:sz w:val="24"/>
          <w:szCs w:val="24"/>
        </w:rPr>
      </w:pPr>
    </w:p>
    <w:p w14:paraId="6B314F22" w14:textId="02846FCC" w:rsidR="00424FD3" w:rsidRPr="00A23543" w:rsidRDefault="00424FD3" w:rsidP="00D90352">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 xml:space="preserve">However, </w:t>
      </w:r>
      <w:r w:rsidR="00120DDD" w:rsidRPr="00A23543">
        <w:rPr>
          <w:rFonts w:ascii="Cambria" w:hAnsi="Cambria"/>
          <w:iCs/>
          <w:color w:val="000000" w:themeColor="text1"/>
          <w:sz w:val="23"/>
          <w:szCs w:val="23"/>
        </w:rPr>
        <w:t xml:space="preserve">a closer </w:t>
      </w:r>
      <w:r w:rsidR="00566C35" w:rsidRPr="00A23543">
        <w:rPr>
          <w:rFonts w:ascii="Cambria" w:hAnsi="Cambria"/>
          <w:iCs/>
          <w:color w:val="000000" w:themeColor="text1"/>
          <w:sz w:val="23"/>
          <w:szCs w:val="23"/>
        </w:rPr>
        <w:t>examination</w:t>
      </w:r>
      <w:r w:rsidR="00120DDD" w:rsidRPr="00A23543">
        <w:rPr>
          <w:rFonts w:ascii="Cambria" w:hAnsi="Cambria"/>
          <w:iCs/>
          <w:color w:val="000000" w:themeColor="text1"/>
          <w:sz w:val="23"/>
          <w:szCs w:val="23"/>
        </w:rPr>
        <w:t xml:space="preserve"> demonstrates</w:t>
      </w:r>
      <w:r w:rsidRPr="00A23543">
        <w:rPr>
          <w:rFonts w:ascii="Cambria" w:hAnsi="Cambria"/>
          <w:iCs/>
          <w:color w:val="000000" w:themeColor="text1"/>
          <w:sz w:val="23"/>
          <w:szCs w:val="23"/>
        </w:rPr>
        <w:t xml:space="preserve"> a </w:t>
      </w:r>
      <w:r w:rsidR="00F44534">
        <w:rPr>
          <w:rFonts w:ascii="Cambria" w:hAnsi="Cambria"/>
          <w:iCs/>
          <w:color w:val="000000" w:themeColor="text1"/>
          <w:sz w:val="23"/>
          <w:szCs w:val="23"/>
        </w:rPr>
        <w:t>stark</w:t>
      </w:r>
      <w:r w:rsidRPr="00A23543">
        <w:rPr>
          <w:rFonts w:ascii="Cambria" w:hAnsi="Cambria"/>
          <w:iCs/>
          <w:color w:val="000000" w:themeColor="text1"/>
          <w:sz w:val="23"/>
          <w:szCs w:val="23"/>
        </w:rPr>
        <w:t xml:space="preserve"> </w:t>
      </w:r>
      <w:r w:rsidR="00740CD7" w:rsidRPr="00A23543">
        <w:rPr>
          <w:rFonts w:ascii="Cambria" w:hAnsi="Cambria"/>
          <w:iCs/>
          <w:color w:val="000000" w:themeColor="text1"/>
          <w:sz w:val="23"/>
          <w:szCs w:val="23"/>
        </w:rPr>
        <w:t>contrast</w:t>
      </w:r>
      <w:r w:rsidR="00566C35" w:rsidRPr="00A23543">
        <w:rPr>
          <w:rFonts w:ascii="Cambria" w:hAnsi="Cambria"/>
          <w:iCs/>
          <w:color w:val="000000" w:themeColor="text1"/>
          <w:sz w:val="23"/>
          <w:szCs w:val="23"/>
        </w:rPr>
        <w:t xml:space="preserve"> between</w:t>
      </w:r>
      <w:r w:rsidRPr="00A23543">
        <w:rPr>
          <w:rFonts w:ascii="Cambria" w:hAnsi="Cambria"/>
          <w:iCs/>
          <w:color w:val="000000" w:themeColor="text1"/>
          <w:sz w:val="23"/>
          <w:szCs w:val="23"/>
        </w:rPr>
        <w:t xml:space="preserve"> </w:t>
      </w:r>
      <w:r w:rsidR="00566C35" w:rsidRPr="00A23543">
        <w:rPr>
          <w:rFonts w:ascii="Cambria" w:hAnsi="Cambria"/>
          <w:iCs/>
          <w:color w:val="000000" w:themeColor="text1"/>
          <w:sz w:val="23"/>
          <w:szCs w:val="23"/>
        </w:rPr>
        <w:t xml:space="preserve">Tasmania’s </w:t>
      </w:r>
      <w:r w:rsidRPr="00A23543">
        <w:rPr>
          <w:rFonts w:ascii="Cambria" w:hAnsi="Cambria"/>
          <w:iCs/>
          <w:color w:val="000000" w:themeColor="text1"/>
          <w:sz w:val="23"/>
          <w:szCs w:val="23"/>
        </w:rPr>
        <w:t xml:space="preserve">Magistrates and Supreme Courts. Whilst the number of </w:t>
      </w:r>
      <w:r w:rsidR="00566C35" w:rsidRPr="00A23543">
        <w:rPr>
          <w:rFonts w:ascii="Cambria" w:hAnsi="Cambria"/>
          <w:iCs/>
          <w:color w:val="000000" w:themeColor="text1"/>
          <w:sz w:val="23"/>
          <w:szCs w:val="23"/>
        </w:rPr>
        <w:t>judicial officers</w:t>
      </w:r>
      <w:r w:rsidRPr="00A23543">
        <w:rPr>
          <w:rFonts w:ascii="Cambria" w:hAnsi="Cambria"/>
          <w:iCs/>
          <w:color w:val="000000" w:themeColor="text1"/>
          <w:sz w:val="23"/>
          <w:szCs w:val="23"/>
        </w:rPr>
        <w:t xml:space="preserve"> employed </w:t>
      </w:r>
      <w:r w:rsidR="00B75178" w:rsidRPr="00A23543">
        <w:rPr>
          <w:rFonts w:ascii="Cambria" w:hAnsi="Cambria"/>
          <w:iCs/>
          <w:color w:val="000000" w:themeColor="text1"/>
          <w:sz w:val="23"/>
          <w:szCs w:val="23"/>
        </w:rPr>
        <w:t xml:space="preserve">to undertake criminal matters </w:t>
      </w:r>
      <w:r w:rsidR="00566C35" w:rsidRPr="00A23543">
        <w:rPr>
          <w:rFonts w:ascii="Cambria" w:hAnsi="Cambria"/>
          <w:iCs/>
          <w:color w:val="000000" w:themeColor="text1"/>
          <w:sz w:val="23"/>
          <w:szCs w:val="23"/>
        </w:rPr>
        <w:t xml:space="preserve">in Tasmania’s Magistrates Court </w:t>
      </w:r>
      <w:r w:rsidRPr="00A23543">
        <w:rPr>
          <w:rFonts w:ascii="Cambria" w:hAnsi="Cambria"/>
          <w:iCs/>
          <w:color w:val="000000" w:themeColor="text1"/>
          <w:sz w:val="23"/>
          <w:szCs w:val="23"/>
        </w:rPr>
        <w:t xml:space="preserve">is </w:t>
      </w:r>
      <w:r w:rsidR="00B75178" w:rsidRPr="00A23543">
        <w:rPr>
          <w:rFonts w:ascii="Cambria" w:hAnsi="Cambria"/>
          <w:iCs/>
          <w:color w:val="000000" w:themeColor="text1"/>
          <w:sz w:val="23"/>
          <w:szCs w:val="23"/>
        </w:rPr>
        <w:t>often</w:t>
      </w:r>
      <w:r w:rsidRPr="00A23543">
        <w:rPr>
          <w:rFonts w:ascii="Cambria" w:hAnsi="Cambria"/>
          <w:iCs/>
          <w:color w:val="000000" w:themeColor="text1"/>
          <w:sz w:val="23"/>
          <w:szCs w:val="23"/>
        </w:rPr>
        <w:t xml:space="preserve"> above the national average, </w:t>
      </w:r>
      <w:r w:rsidR="00B75178" w:rsidRPr="00A23543">
        <w:rPr>
          <w:rFonts w:ascii="Cambria" w:hAnsi="Cambria"/>
          <w:iCs/>
          <w:color w:val="000000" w:themeColor="text1"/>
          <w:sz w:val="23"/>
          <w:szCs w:val="23"/>
        </w:rPr>
        <w:t xml:space="preserve">in the Supreme Court there is a clear </w:t>
      </w:r>
      <w:r w:rsidR="00566C35" w:rsidRPr="00A23543">
        <w:rPr>
          <w:rFonts w:ascii="Cambria" w:hAnsi="Cambria"/>
          <w:iCs/>
          <w:color w:val="000000" w:themeColor="text1"/>
          <w:sz w:val="23"/>
          <w:szCs w:val="23"/>
        </w:rPr>
        <w:t>shortage</w:t>
      </w:r>
      <w:r w:rsidR="00B75178" w:rsidRPr="00A23543">
        <w:rPr>
          <w:rFonts w:ascii="Cambria" w:hAnsi="Cambria"/>
          <w:iCs/>
          <w:color w:val="000000" w:themeColor="text1"/>
          <w:sz w:val="23"/>
          <w:szCs w:val="23"/>
        </w:rPr>
        <w:t xml:space="preserve"> of </w:t>
      </w:r>
      <w:r w:rsidR="00566C35" w:rsidRPr="00A23543">
        <w:rPr>
          <w:rFonts w:ascii="Cambria" w:hAnsi="Cambria"/>
          <w:iCs/>
          <w:color w:val="000000" w:themeColor="text1"/>
          <w:sz w:val="23"/>
          <w:szCs w:val="23"/>
        </w:rPr>
        <w:t>judicial officers</w:t>
      </w:r>
      <w:r w:rsidR="00B75178" w:rsidRPr="00A23543">
        <w:rPr>
          <w:rFonts w:ascii="Cambria" w:hAnsi="Cambria"/>
          <w:iCs/>
          <w:color w:val="000000" w:themeColor="text1"/>
          <w:sz w:val="23"/>
          <w:szCs w:val="23"/>
        </w:rPr>
        <w:t xml:space="preserve"> when compared </w:t>
      </w:r>
      <w:r w:rsidR="00F44534">
        <w:rPr>
          <w:rFonts w:ascii="Cambria" w:hAnsi="Cambria"/>
          <w:iCs/>
          <w:color w:val="000000" w:themeColor="text1"/>
          <w:sz w:val="23"/>
          <w:szCs w:val="23"/>
        </w:rPr>
        <w:t>against</w:t>
      </w:r>
      <w:r w:rsidR="00B75178" w:rsidRPr="00A23543">
        <w:rPr>
          <w:rFonts w:ascii="Cambria" w:hAnsi="Cambria"/>
          <w:iCs/>
          <w:color w:val="000000" w:themeColor="text1"/>
          <w:sz w:val="23"/>
          <w:szCs w:val="23"/>
        </w:rPr>
        <w:t xml:space="preserve"> </w:t>
      </w:r>
      <w:r w:rsidR="00566C35" w:rsidRPr="00A23543">
        <w:rPr>
          <w:rFonts w:ascii="Cambria" w:hAnsi="Cambria"/>
          <w:iCs/>
          <w:color w:val="000000" w:themeColor="text1"/>
          <w:sz w:val="23"/>
          <w:szCs w:val="23"/>
        </w:rPr>
        <w:t>the</w:t>
      </w:r>
      <w:r w:rsidR="00B75178" w:rsidRPr="00A23543">
        <w:rPr>
          <w:rFonts w:ascii="Cambria" w:hAnsi="Cambria"/>
          <w:iCs/>
          <w:color w:val="000000" w:themeColor="text1"/>
          <w:sz w:val="23"/>
          <w:szCs w:val="23"/>
        </w:rPr>
        <w:t xml:space="preserve"> Australian </w:t>
      </w:r>
      <w:r w:rsidR="00566C35" w:rsidRPr="00A23543">
        <w:rPr>
          <w:rFonts w:ascii="Cambria" w:hAnsi="Cambria"/>
          <w:iCs/>
          <w:color w:val="000000" w:themeColor="text1"/>
          <w:sz w:val="23"/>
          <w:szCs w:val="23"/>
        </w:rPr>
        <w:t>average</w:t>
      </w:r>
      <w:r w:rsidR="00B75178" w:rsidRPr="00A23543">
        <w:rPr>
          <w:rFonts w:ascii="Cambria" w:hAnsi="Cambria"/>
          <w:iCs/>
          <w:color w:val="000000" w:themeColor="text1"/>
          <w:sz w:val="23"/>
          <w:szCs w:val="23"/>
        </w:rPr>
        <w:t xml:space="preserve">. </w:t>
      </w:r>
    </w:p>
    <w:p w14:paraId="67351957" w14:textId="77777777" w:rsidR="00740772" w:rsidRDefault="00740772" w:rsidP="00D90352">
      <w:pPr>
        <w:pStyle w:val="NoSpacing"/>
        <w:jc w:val="both"/>
        <w:rPr>
          <w:rFonts w:ascii="Cambria" w:hAnsi="Cambria"/>
          <w:iCs/>
          <w:color w:val="000000" w:themeColor="text1"/>
          <w:sz w:val="24"/>
          <w:szCs w:val="24"/>
        </w:rPr>
      </w:pPr>
    </w:p>
    <w:p w14:paraId="5DF4D3FB" w14:textId="77777777" w:rsidR="00740772" w:rsidRPr="00A23543" w:rsidRDefault="00740772" w:rsidP="00740772">
      <w:pPr>
        <w:pStyle w:val="NoSpacing"/>
        <w:jc w:val="center"/>
        <w:rPr>
          <w:rFonts w:ascii="Cambria" w:hAnsi="Cambria"/>
          <w:b/>
          <w:bCs/>
          <w:iCs/>
          <w:color w:val="000000" w:themeColor="text1"/>
          <w:sz w:val="23"/>
          <w:szCs w:val="23"/>
        </w:rPr>
      </w:pPr>
      <w:r w:rsidRPr="00A23543">
        <w:rPr>
          <w:rFonts w:ascii="Cambria" w:hAnsi="Cambria"/>
          <w:b/>
          <w:bCs/>
          <w:iCs/>
          <w:color w:val="000000" w:themeColor="text1"/>
          <w:sz w:val="23"/>
          <w:szCs w:val="23"/>
        </w:rPr>
        <w:t xml:space="preserve">Number of FTE judicial officers per 1,000 finalisations -  </w:t>
      </w:r>
    </w:p>
    <w:p w14:paraId="1475243F" w14:textId="13B4BD15" w:rsidR="00740772" w:rsidRPr="00A23543" w:rsidRDefault="00740772" w:rsidP="00740772">
      <w:pPr>
        <w:pStyle w:val="NoSpacing"/>
        <w:jc w:val="center"/>
        <w:rPr>
          <w:rFonts w:ascii="Cambria" w:hAnsi="Cambria"/>
          <w:b/>
          <w:bCs/>
          <w:iCs/>
          <w:color w:val="000000" w:themeColor="text1"/>
          <w:sz w:val="23"/>
          <w:szCs w:val="23"/>
        </w:rPr>
      </w:pPr>
      <w:r w:rsidRPr="00A23543">
        <w:rPr>
          <w:rFonts w:ascii="Cambria" w:hAnsi="Cambria"/>
          <w:b/>
          <w:bCs/>
          <w:iCs/>
          <w:color w:val="000000" w:themeColor="text1"/>
          <w:sz w:val="23"/>
          <w:szCs w:val="23"/>
        </w:rPr>
        <w:t xml:space="preserve">Criminal Matters in the Magistrates </w:t>
      </w:r>
      <w:r w:rsidR="00E22CAA" w:rsidRPr="00A23543">
        <w:rPr>
          <w:rFonts w:ascii="Cambria" w:hAnsi="Cambria"/>
          <w:b/>
          <w:bCs/>
          <w:iCs/>
          <w:color w:val="000000" w:themeColor="text1"/>
          <w:sz w:val="23"/>
          <w:szCs w:val="23"/>
        </w:rPr>
        <w:t>and</w:t>
      </w:r>
      <w:r w:rsidRPr="00A23543">
        <w:rPr>
          <w:rFonts w:ascii="Cambria" w:hAnsi="Cambria"/>
          <w:b/>
          <w:bCs/>
          <w:iCs/>
          <w:color w:val="000000" w:themeColor="text1"/>
          <w:sz w:val="23"/>
          <w:szCs w:val="23"/>
        </w:rPr>
        <w:t xml:space="preserve"> Supreme Court</w:t>
      </w:r>
      <w:r w:rsidR="00E22CAA" w:rsidRPr="00A23543">
        <w:rPr>
          <w:rFonts w:ascii="Cambria" w:hAnsi="Cambria"/>
          <w:b/>
          <w:bCs/>
          <w:iCs/>
          <w:color w:val="000000" w:themeColor="text1"/>
          <w:sz w:val="23"/>
          <w:szCs w:val="23"/>
        </w:rPr>
        <w:t>s</w:t>
      </w:r>
    </w:p>
    <w:tbl>
      <w:tblPr>
        <w:tblStyle w:val="TableGrid"/>
        <w:tblW w:w="9067" w:type="dxa"/>
        <w:jc w:val="center"/>
        <w:tblLook w:val="04A0" w:firstRow="1" w:lastRow="0" w:firstColumn="1" w:lastColumn="0" w:noHBand="0" w:noVBand="1"/>
      </w:tblPr>
      <w:tblGrid>
        <w:gridCol w:w="1245"/>
        <w:gridCol w:w="1303"/>
        <w:gridCol w:w="1304"/>
        <w:gridCol w:w="1278"/>
        <w:gridCol w:w="26"/>
        <w:gridCol w:w="1303"/>
        <w:gridCol w:w="1304"/>
        <w:gridCol w:w="1304"/>
      </w:tblGrid>
      <w:tr w:rsidR="00740772" w:rsidRPr="00A23543" w14:paraId="6CEC0F38" w14:textId="77777777" w:rsidTr="003D1D81">
        <w:trPr>
          <w:jc w:val="center"/>
        </w:trPr>
        <w:tc>
          <w:tcPr>
            <w:tcW w:w="1245" w:type="dxa"/>
            <w:vMerge w:val="restart"/>
          </w:tcPr>
          <w:p w14:paraId="6CFC331D" w14:textId="77777777" w:rsidR="00740772" w:rsidRPr="00A23543" w:rsidRDefault="00740772" w:rsidP="003D1D81">
            <w:pPr>
              <w:pStyle w:val="NoSpacing"/>
              <w:jc w:val="both"/>
              <w:rPr>
                <w:rFonts w:ascii="Cambria" w:hAnsi="Cambria"/>
                <w:iCs/>
                <w:color w:val="000000" w:themeColor="text1"/>
                <w:sz w:val="23"/>
                <w:szCs w:val="23"/>
              </w:rPr>
            </w:pPr>
          </w:p>
        </w:tc>
        <w:tc>
          <w:tcPr>
            <w:tcW w:w="3885" w:type="dxa"/>
            <w:gridSpan w:val="3"/>
          </w:tcPr>
          <w:p w14:paraId="2241E283" w14:textId="77777777" w:rsidR="00740772" w:rsidRPr="00A23543" w:rsidRDefault="00740772" w:rsidP="003D1D81">
            <w:pPr>
              <w:pStyle w:val="NoSpacing"/>
              <w:jc w:val="center"/>
              <w:rPr>
                <w:rFonts w:ascii="Cambria" w:hAnsi="Cambria"/>
                <w:iCs/>
                <w:color w:val="000000" w:themeColor="text1"/>
                <w:sz w:val="23"/>
                <w:szCs w:val="23"/>
              </w:rPr>
            </w:pPr>
            <w:r w:rsidRPr="00A23543">
              <w:rPr>
                <w:rFonts w:ascii="Cambria" w:hAnsi="Cambria"/>
                <w:b/>
                <w:bCs/>
                <w:iCs/>
                <w:color w:val="000000" w:themeColor="text1"/>
                <w:sz w:val="23"/>
                <w:szCs w:val="23"/>
              </w:rPr>
              <w:t>Magistrates Court</w:t>
            </w:r>
          </w:p>
        </w:tc>
        <w:tc>
          <w:tcPr>
            <w:tcW w:w="3937" w:type="dxa"/>
            <w:gridSpan w:val="4"/>
          </w:tcPr>
          <w:p w14:paraId="549B828C" w14:textId="77777777" w:rsidR="00740772" w:rsidRPr="00A23543" w:rsidRDefault="00740772" w:rsidP="003D1D81">
            <w:pPr>
              <w:pStyle w:val="NoSpacing"/>
              <w:jc w:val="center"/>
              <w:rPr>
                <w:rFonts w:ascii="Cambria" w:hAnsi="Cambria"/>
                <w:iCs/>
                <w:color w:val="000000" w:themeColor="text1"/>
                <w:sz w:val="23"/>
                <w:szCs w:val="23"/>
              </w:rPr>
            </w:pPr>
            <w:r w:rsidRPr="00A23543">
              <w:rPr>
                <w:rFonts w:ascii="Cambria" w:hAnsi="Cambria"/>
                <w:b/>
                <w:bCs/>
                <w:iCs/>
                <w:color w:val="000000" w:themeColor="text1"/>
                <w:sz w:val="23"/>
                <w:szCs w:val="23"/>
              </w:rPr>
              <w:t>Supreme Court</w:t>
            </w:r>
          </w:p>
        </w:tc>
      </w:tr>
      <w:tr w:rsidR="00740772" w:rsidRPr="00A23543" w14:paraId="3DDBD301" w14:textId="77777777" w:rsidTr="003D1D81">
        <w:trPr>
          <w:jc w:val="center"/>
        </w:trPr>
        <w:tc>
          <w:tcPr>
            <w:tcW w:w="1245" w:type="dxa"/>
            <w:vMerge/>
          </w:tcPr>
          <w:p w14:paraId="3710D9CB" w14:textId="77777777" w:rsidR="00740772" w:rsidRPr="00A23543" w:rsidRDefault="00740772" w:rsidP="003D1D81">
            <w:pPr>
              <w:pStyle w:val="NoSpacing"/>
              <w:jc w:val="both"/>
              <w:rPr>
                <w:rFonts w:ascii="Cambria" w:hAnsi="Cambria"/>
                <w:iCs/>
                <w:color w:val="000000" w:themeColor="text1"/>
                <w:sz w:val="23"/>
                <w:szCs w:val="23"/>
              </w:rPr>
            </w:pPr>
          </w:p>
        </w:tc>
        <w:tc>
          <w:tcPr>
            <w:tcW w:w="1303" w:type="dxa"/>
          </w:tcPr>
          <w:p w14:paraId="1C8023BB"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Tasmania</w:t>
            </w:r>
          </w:p>
        </w:tc>
        <w:tc>
          <w:tcPr>
            <w:tcW w:w="1304" w:type="dxa"/>
          </w:tcPr>
          <w:p w14:paraId="7AE76E62"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Australian average</w:t>
            </w:r>
          </w:p>
        </w:tc>
        <w:tc>
          <w:tcPr>
            <w:tcW w:w="1304" w:type="dxa"/>
            <w:gridSpan w:val="2"/>
          </w:tcPr>
          <w:p w14:paraId="1B82A150"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Difference</w:t>
            </w:r>
          </w:p>
          <w:p w14:paraId="7D732957"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303" w:type="dxa"/>
          </w:tcPr>
          <w:p w14:paraId="4605E00C"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Tasmania</w:t>
            </w:r>
          </w:p>
        </w:tc>
        <w:tc>
          <w:tcPr>
            <w:tcW w:w="1304" w:type="dxa"/>
          </w:tcPr>
          <w:p w14:paraId="6A710659"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Australian average</w:t>
            </w:r>
          </w:p>
        </w:tc>
        <w:tc>
          <w:tcPr>
            <w:tcW w:w="1304" w:type="dxa"/>
          </w:tcPr>
          <w:p w14:paraId="0D0D63F2"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Difference</w:t>
            </w:r>
          </w:p>
          <w:p w14:paraId="55BFE5B2"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r>
      <w:tr w:rsidR="00740772" w:rsidRPr="00A23543" w14:paraId="1014745C" w14:textId="77777777" w:rsidTr="003D1D81">
        <w:trPr>
          <w:jc w:val="center"/>
        </w:trPr>
        <w:tc>
          <w:tcPr>
            <w:tcW w:w="1245" w:type="dxa"/>
          </w:tcPr>
          <w:p w14:paraId="353A9213"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2015-16</w:t>
            </w:r>
          </w:p>
        </w:tc>
        <w:tc>
          <w:tcPr>
            <w:tcW w:w="1303" w:type="dxa"/>
          </w:tcPr>
          <w:p w14:paraId="2302AC09"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4" w:type="dxa"/>
          </w:tcPr>
          <w:p w14:paraId="388E9389"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304" w:type="dxa"/>
            <w:gridSpan w:val="2"/>
          </w:tcPr>
          <w:p w14:paraId="50BEC66F"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B050"/>
                <w:sz w:val="23"/>
                <w:szCs w:val="23"/>
              </w:rPr>
              <w:t>+20.00</w:t>
            </w:r>
          </w:p>
        </w:tc>
        <w:tc>
          <w:tcPr>
            <w:tcW w:w="1303" w:type="dxa"/>
          </w:tcPr>
          <w:p w14:paraId="41CF7E18"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8.3</w:t>
            </w:r>
          </w:p>
        </w:tc>
        <w:tc>
          <w:tcPr>
            <w:tcW w:w="1304" w:type="dxa"/>
          </w:tcPr>
          <w:p w14:paraId="50253C87"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13.9</w:t>
            </w:r>
          </w:p>
        </w:tc>
        <w:tc>
          <w:tcPr>
            <w:tcW w:w="1304" w:type="dxa"/>
          </w:tcPr>
          <w:p w14:paraId="3F8FF0C4"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EE0000"/>
                <w:sz w:val="23"/>
                <w:szCs w:val="23"/>
              </w:rPr>
              <w:t>-40.29</w:t>
            </w:r>
          </w:p>
        </w:tc>
      </w:tr>
      <w:tr w:rsidR="00740772" w:rsidRPr="00A23543" w14:paraId="7C20A7D0" w14:textId="77777777" w:rsidTr="003D1D81">
        <w:trPr>
          <w:jc w:val="center"/>
        </w:trPr>
        <w:tc>
          <w:tcPr>
            <w:tcW w:w="1245" w:type="dxa"/>
          </w:tcPr>
          <w:p w14:paraId="7BC0A923"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2016-17</w:t>
            </w:r>
          </w:p>
        </w:tc>
        <w:tc>
          <w:tcPr>
            <w:tcW w:w="1303" w:type="dxa"/>
          </w:tcPr>
          <w:p w14:paraId="29259B01"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4" w:type="dxa"/>
          </w:tcPr>
          <w:p w14:paraId="22B82F6F"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304" w:type="dxa"/>
            <w:gridSpan w:val="2"/>
          </w:tcPr>
          <w:p w14:paraId="0F008666"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B050"/>
                <w:sz w:val="23"/>
                <w:szCs w:val="23"/>
              </w:rPr>
              <w:t>+20.00</w:t>
            </w:r>
          </w:p>
        </w:tc>
        <w:tc>
          <w:tcPr>
            <w:tcW w:w="1303" w:type="dxa"/>
          </w:tcPr>
          <w:p w14:paraId="2230BF10"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8.4</w:t>
            </w:r>
          </w:p>
        </w:tc>
        <w:tc>
          <w:tcPr>
            <w:tcW w:w="1304" w:type="dxa"/>
          </w:tcPr>
          <w:p w14:paraId="431E91A5"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11.5</w:t>
            </w:r>
          </w:p>
        </w:tc>
        <w:tc>
          <w:tcPr>
            <w:tcW w:w="1304" w:type="dxa"/>
          </w:tcPr>
          <w:p w14:paraId="06C62FB3"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EE0000"/>
                <w:sz w:val="23"/>
                <w:szCs w:val="23"/>
              </w:rPr>
              <w:t>-26.95</w:t>
            </w:r>
          </w:p>
        </w:tc>
      </w:tr>
      <w:tr w:rsidR="00740772" w:rsidRPr="00A23543" w14:paraId="254D5A18" w14:textId="77777777" w:rsidTr="003D1D81">
        <w:trPr>
          <w:jc w:val="center"/>
        </w:trPr>
        <w:tc>
          <w:tcPr>
            <w:tcW w:w="1245" w:type="dxa"/>
          </w:tcPr>
          <w:p w14:paraId="0BD2C2D6"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2017-18</w:t>
            </w:r>
          </w:p>
        </w:tc>
        <w:tc>
          <w:tcPr>
            <w:tcW w:w="1303" w:type="dxa"/>
          </w:tcPr>
          <w:p w14:paraId="2F89515A"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4" w:type="dxa"/>
          </w:tcPr>
          <w:p w14:paraId="4202B9B8"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4" w:type="dxa"/>
            <w:gridSpan w:val="2"/>
          </w:tcPr>
          <w:p w14:paraId="7D9BA161"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303" w:type="dxa"/>
          </w:tcPr>
          <w:p w14:paraId="568B08C3"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8.9</w:t>
            </w:r>
          </w:p>
        </w:tc>
        <w:tc>
          <w:tcPr>
            <w:tcW w:w="1304" w:type="dxa"/>
          </w:tcPr>
          <w:p w14:paraId="2EDC0AB7"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10.4</w:t>
            </w:r>
          </w:p>
        </w:tc>
        <w:tc>
          <w:tcPr>
            <w:tcW w:w="1304" w:type="dxa"/>
          </w:tcPr>
          <w:p w14:paraId="4A93DB35"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-14.43</w:t>
            </w:r>
          </w:p>
        </w:tc>
      </w:tr>
      <w:tr w:rsidR="00740772" w:rsidRPr="00A23543" w14:paraId="620CAD84" w14:textId="77777777" w:rsidTr="003D1D81">
        <w:trPr>
          <w:jc w:val="center"/>
        </w:trPr>
        <w:tc>
          <w:tcPr>
            <w:tcW w:w="1245" w:type="dxa"/>
          </w:tcPr>
          <w:p w14:paraId="23861C65"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2018-19</w:t>
            </w:r>
          </w:p>
        </w:tc>
        <w:tc>
          <w:tcPr>
            <w:tcW w:w="1303" w:type="dxa"/>
          </w:tcPr>
          <w:p w14:paraId="6AFC01B7"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4" w:type="dxa"/>
          </w:tcPr>
          <w:p w14:paraId="60DABE11"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4" w:type="dxa"/>
            <w:gridSpan w:val="2"/>
          </w:tcPr>
          <w:p w14:paraId="42BA844B"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303" w:type="dxa"/>
          </w:tcPr>
          <w:p w14:paraId="0871FD3A"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9.0</w:t>
            </w:r>
          </w:p>
        </w:tc>
        <w:tc>
          <w:tcPr>
            <w:tcW w:w="1304" w:type="dxa"/>
          </w:tcPr>
          <w:p w14:paraId="180C5498"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10.9</w:t>
            </w:r>
          </w:p>
        </w:tc>
        <w:tc>
          <w:tcPr>
            <w:tcW w:w="1304" w:type="dxa"/>
          </w:tcPr>
          <w:p w14:paraId="2C15F960"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-17.44</w:t>
            </w:r>
          </w:p>
        </w:tc>
      </w:tr>
      <w:tr w:rsidR="00740772" w:rsidRPr="00A23543" w14:paraId="04843458" w14:textId="77777777" w:rsidTr="003D1D81">
        <w:trPr>
          <w:jc w:val="center"/>
        </w:trPr>
        <w:tc>
          <w:tcPr>
            <w:tcW w:w="1245" w:type="dxa"/>
          </w:tcPr>
          <w:p w14:paraId="1B699266"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2019-20</w:t>
            </w:r>
          </w:p>
        </w:tc>
        <w:tc>
          <w:tcPr>
            <w:tcW w:w="1303" w:type="dxa"/>
          </w:tcPr>
          <w:p w14:paraId="3C2206AE"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304" w:type="dxa"/>
          </w:tcPr>
          <w:p w14:paraId="006720D3"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304" w:type="dxa"/>
            <w:gridSpan w:val="2"/>
          </w:tcPr>
          <w:p w14:paraId="0F62E971"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303" w:type="dxa"/>
          </w:tcPr>
          <w:p w14:paraId="60A23CA9"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7.1</w:t>
            </w:r>
          </w:p>
        </w:tc>
        <w:tc>
          <w:tcPr>
            <w:tcW w:w="1304" w:type="dxa"/>
          </w:tcPr>
          <w:p w14:paraId="4AFE18D6"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10.8</w:t>
            </w:r>
          </w:p>
        </w:tc>
        <w:tc>
          <w:tcPr>
            <w:tcW w:w="1304" w:type="dxa"/>
          </w:tcPr>
          <w:p w14:paraId="110B95F3"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-34.26</w:t>
            </w:r>
          </w:p>
        </w:tc>
      </w:tr>
      <w:tr w:rsidR="00740772" w:rsidRPr="00A23543" w14:paraId="4FD164E8" w14:textId="77777777" w:rsidTr="003D1D81">
        <w:trPr>
          <w:jc w:val="center"/>
        </w:trPr>
        <w:tc>
          <w:tcPr>
            <w:tcW w:w="1245" w:type="dxa"/>
          </w:tcPr>
          <w:p w14:paraId="5ED8B5C3"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2020-21</w:t>
            </w:r>
          </w:p>
        </w:tc>
        <w:tc>
          <w:tcPr>
            <w:tcW w:w="1303" w:type="dxa"/>
          </w:tcPr>
          <w:p w14:paraId="3AC1D09C"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304" w:type="dxa"/>
          </w:tcPr>
          <w:p w14:paraId="386CB130"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4" w:type="dxa"/>
            <w:gridSpan w:val="2"/>
          </w:tcPr>
          <w:p w14:paraId="3CD640F9"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B050"/>
                <w:sz w:val="23"/>
                <w:szCs w:val="23"/>
              </w:rPr>
              <w:t>+16.67</w:t>
            </w:r>
          </w:p>
        </w:tc>
        <w:tc>
          <w:tcPr>
            <w:tcW w:w="1303" w:type="dxa"/>
          </w:tcPr>
          <w:p w14:paraId="028775B0"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9.5</w:t>
            </w:r>
          </w:p>
        </w:tc>
        <w:tc>
          <w:tcPr>
            <w:tcW w:w="1304" w:type="dxa"/>
          </w:tcPr>
          <w:p w14:paraId="21BAA3A0"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12.1</w:t>
            </w:r>
          </w:p>
        </w:tc>
        <w:tc>
          <w:tcPr>
            <w:tcW w:w="1304" w:type="dxa"/>
          </w:tcPr>
          <w:p w14:paraId="1023FDEF"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EE0000"/>
                <w:sz w:val="23"/>
                <w:szCs w:val="23"/>
              </w:rPr>
              <w:t>-21.49</w:t>
            </w:r>
          </w:p>
        </w:tc>
      </w:tr>
      <w:tr w:rsidR="00740772" w:rsidRPr="00A23543" w14:paraId="7F19F07D" w14:textId="77777777" w:rsidTr="003D1D81">
        <w:trPr>
          <w:jc w:val="center"/>
        </w:trPr>
        <w:tc>
          <w:tcPr>
            <w:tcW w:w="1245" w:type="dxa"/>
          </w:tcPr>
          <w:p w14:paraId="2F190321"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2021-22</w:t>
            </w:r>
          </w:p>
        </w:tc>
        <w:tc>
          <w:tcPr>
            <w:tcW w:w="1303" w:type="dxa"/>
          </w:tcPr>
          <w:p w14:paraId="6D99E393"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304" w:type="dxa"/>
          </w:tcPr>
          <w:p w14:paraId="43BC6F65"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304" w:type="dxa"/>
            <w:gridSpan w:val="2"/>
          </w:tcPr>
          <w:p w14:paraId="2F0A4C3C" w14:textId="77777777" w:rsidR="00740772" w:rsidRPr="00A23543" w:rsidRDefault="00740772" w:rsidP="003D1D81">
            <w:pPr>
              <w:pStyle w:val="NoSpacing"/>
              <w:jc w:val="both"/>
              <w:rPr>
                <w:rFonts w:ascii="Cambria" w:hAnsi="Cambria"/>
                <w:iCs/>
                <w:color w:val="EE0000"/>
                <w:sz w:val="23"/>
                <w:szCs w:val="23"/>
              </w:rPr>
            </w:pPr>
            <w:r w:rsidRPr="00A23543">
              <w:rPr>
                <w:rFonts w:ascii="Cambria" w:hAnsi="Cambria"/>
                <w:iCs/>
                <w:color w:val="000000" w:themeColor="text1"/>
                <w:sz w:val="23"/>
                <w:szCs w:val="23"/>
              </w:rPr>
              <w:t>-</w:t>
            </w:r>
          </w:p>
        </w:tc>
        <w:tc>
          <w:tcPr>
            <w:tcW w:w="1303" w:type="dxa"/>
          </w:tcPr>
          <w:p w14:paraId="391B6BC5"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9.6</w:t>
            </w:r>
          </w:p>
        </w:tc>
        <w:tc>
          <w:tcPr>
            <w:tcW w:w="1304" w:type="dxa"/>
          </w:tcPr>
          <w:p w14:paraId="6C023377"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12.2</w:t>
            </w:r>
          </w:p>
        </w:tc>
        <w:tc>
          <w:tcPr>
            <w:tcW w:w="1304" w:type="dxa"/>
          </w:tcPr>
          <w:p w14:paraId="2B7D4056"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-21.32</w:t>
            </w:r>
          </w:p>
        </w:tc>
      </w:tr>
      <w:tr w:rsidR="00740772" w:rsidRPr="00A23543" w14:paraId="5545B877" w14:textId="77777777" w:rsidTr="003D1D81">
        <w:trPr>
          <w:jc w:val="center"/>
        </w:trPr>
        <w:tc>
          <w:tcPr>
            <w:tcW w:w="1245" w:type="dxa"/>
          </w:tcPr>
          <w:p w14:paraId="212BF608"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2022-23</w:t>
            </w:r>
          </w:p>
        </w:tc>
        <w:tc>
          <w:tcPr>
            <w:tcW w:w="1303" w:type="dxa"/>
          </w:tcPr>
          <w:p w14:paraId="2E8A45BB"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304" w:type="dxa"/>
          </w:tcPr>
          <w:p w14:paraId="09A1F2F3"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304" w:type="dxa"/>
            <w:gridSpan w:val="2"/>
          </w:tcPr>
          <w:p w14:paraId="24F209DA"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B050"/>
                <w:sz w:val="23"/>
                <w:szCs w:val="23"/>
              </w:rPr>
              <w:t>+14.29</w:t>
            </w:r>
          </w:p>
        </w:tc>
        <w:tc>
          <w:tcPr>
            <w:tcW w:w="1303" w:type="dxa"/>
          </w:tcPr>
          <w:p w14:paraId="7470C529"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10.2</w:t>
            </w:r>
          </w:p>
        </w:tc>
        <w:tc>
          <w:tcPr>
            <w:tcW w:w="1304" w:type="dxa"/>
          </w:tcPr>
          <w:p w14:paraId="2548B559"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13.8</w:t>
            </w:r>
          </w:p>
        </w:tc>
        <w:tc>
          <w:tcPr>
            <w:tcW w:w="1304" w:type="dxa"/>
          </w:tcPr>
          <w:p w14:paraId="7161F01F"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EE0000"/>
                <w:sz w:val="23"/>
                <w:szCs w:val="23"/>
              </w:rPr>
              <w:t>-26.09</w:t>
            </w:r>
          </w:p>
        </w:tc>
      </w:tr>
      <w:tr w:rsidR="00740772" w:rsidRPr="00A23543" w14:paraId="46020881" w14:textId="77777777" w:rsidTr="003D1D81">
        <w:trPr>
          <w:jc w:val="center"/>
        </w:trPr>
        <w:tc>
          <w:tcPr>
            <w:tcW w:w="1245" w:type="dxa"/>
          </w:tcPr>
          <w:p w14:paraId="6EC299F3"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2023-24</w:t>
            </w:r>
          </w:p>
        </w:tc>
        <w:tc>
          <w:tcPr>
            <w:tcW w:w="1303" w:type="dxa"/>
          </w:tcPr>
          <w:p w14:paraId="3A98EE9F"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304" w:type="dxa"/>
          </w:tcPr>
          <w:p w14:paraId="18072075"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304" w:type="dxa"/>
            <w:gridSpan w:val="2"/>
          </w:tcPr>
          <w:p w14:paraId="6474E20C"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B050"/>
                <w:sz w:val="23"/>
                <w:szCs w:val="23"/>
              </w:rPr>
              <w:t>+14.29</w:t>
            </w:r>
          </w:p>
        </w:tc>
        <w:tc>
          <w:tcPr>
            <w:tcW w:w="1303" w:type="dxa"/>
          </w:tcPr>
          <w:p w14:paraId="7310D361"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10.8</w:t>
            </w:r>
          </w:p>
        </w:tc>
        <w:tc>
          <w:tcPr>
            <w:tcW w:w="1304" w:type="dxa"/>
          </w:tcPr>
          <w:p w14:paraId="678A1517"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15.0</w:t>
            </w:r>
          </w:p>
        </w:tc>
        <w:tc>
          <w:tcPr>
            <w:tcW w:w="1304" w:type="dxa"/>
          </w:tcPr>
          <w:p w14:paraId="3757FFED"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EE0000"/>
                <w:sz w:val="23"/>
                <w:szCs w:val="23"/>
              </w:rPr>
              <w:t>-28.00</w:t>
            </w:r>
          </w:p>
        </w:tc>
      </w:tr>
      <w:tr w:rsidR="00740772" w:rsidRPr="00A23543" w14:paraId="262E8505" w14:textId="77777777" w:rsidTr="003D1D81">
        <w:trPr>
          <w:jc w:val="center"/>
        </w:trPr>
        <w:tc>
          <w:tcPr>
            <w:tcW w:w="1245" w:type="dxa"/>
          </w:tcPr>
          <w:p w14:paraId="570D1BCC" w14:textId="77777777" w:rsidR="00740772" w:rsidRPr="00A23543" w:rsidRDefault="00740772"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2024-25</w:t>
            </w:r>
          </w:p>
        </w:tc>
        <w:tc>
          <w:tcPr>
            <w:tcW w:w="1303" w:type="dxa"/>
          </w:tcPr>
          <w:p w14:paraId="2CF04045"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304" w:type="dxa"/>
          </w:tcPr>
          <w:p w14:paraId="17DE64C5" w14:textId="77777777" w:rsidR="00740772" w:rsidRPr="00A23543" w:rsidRDefault="00740772"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304" w:type="dxa"/>
            <w:gridSpan w:val="2"/>
          </w:tcPr>
          <w:p w14:paraId="49CC9AE7"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B050"/>
                <w:sz w:val="23"/>
                <w:szCs w:val="23"/>
              </w:rPr>
              <w:t>+14.29</w:t>
            </w:r>
          </w:p>
        </w:tc>
        <w:tc>
          <w:tcPr>
            <w:tcW w:w="1303" w:type="dxa"/>
          </w:tcPr>
          <w:p w14:paraId="495F78BE"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7.9</w:t>
            </w:r>
          </w:p>
        </w:tc>
        <w:tc>
          <w:tcPr>
            <w:tcW w:w="1304" w:type="dxa"/>
          </w:tcPr>
          <w:p w14:paraId="6EA7EF48"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14.2</w:t>
            </w:r>
          </w:p>
        </w:tc>
        <w:tc>
          <w:tcPr>
            <w:tcW w:w="1304" w:type="dxa"/>
          </w:tcPr>
          <w:p w14:paraId="3B938A54" w14:textId="77777777" w:rsidR="00740772" w:rsidRPr="00A23543" w:rsidRDefault="00740772" w:rsidP="003D1D81">
            <w:pPr>
              <w:pStyle w:val="NoSpacing"/>
              <w:jc w:val="both"/>
              <w:rPr>
                <w:rFonts w:ascii="Cambria" w:hAnsi="Cambria"/>
                <w:iCs/>
                <w:color w:val="00B050"/>
                <w:sz w:val="23"/>
                <w:szCs w:val="23"/>
              </w:rPr>
            </w:pPr>
            <w:r w:rsidRPr="00A23543">
              <w:rPr>
                <w:rFonts w:ascii="Cambria" w:hAnsi="Cambria"/>
                <w:iCs/>
                <w:color w:val="EE0000"/>
                <w:sz w:val="23"/>
                <w:szCs w:val="23"/>
              </w:rPr>
              <w:t>-44.37</w:t>
            </w:r>
          </w:p>
        </w:tc>
      </w:tr>
    </w:tbl>
    <w:p w14:paraId="61B1D5C0" w14:textId="77777777" w:rsidR="00740772" w:rsidRPr="00020EA6" w:rsidRDefault="00740772" w:rsidP="00740772">
      <w:pPr>
        <w:pStyle w:val="NoSpacing"/>
        <w:ind w:right="1275"/>
        <w:jc w:val="both"/>
        <w:rPr>
          <w:rFonts w:ascii="Cambria" w:hAnsi="Cambria"/>
          <w:iCs/>
          <w:color w:val="000000" w:themeColor="text1"/>
          <w:sz w:val="20"/>
          <w:szCs w:val="20"/>
        </w:rPr>
      </w:pPr>
      <w:r w:rsidRPr="00020EA6">
        <w:rPr>
          <w:rFonts w:ascii="Cambria" w:hAnsi="Cambria"/>
          <w:iCs/>
          <w:color w:val="000000" w:themeColor="text1"/>
          <w:sz w:val="20"/>
          <w:szCs w:val="20"/>
        </w:rPr>
        <w:t>Source: Productivity Commission, Report on Government Services 2026, Courts, Table 7A.2</w:t>
      </w:r>
      <w:r>
        <w:rPr>
          <w:rFonts w:ascii="Cambria" w:hAnsi="Cambria"/>
          <w:iCs/>
          <w:color w:val="000000" w:themeColor="text1"/>
          <w:sz w:val="20"/>
          <w:szCs w:val="20"/>
        </w:rPr>
        <w:t>9</w:t>
      </w:r>
    </w:p>
    <w:p w14:paraId="7E81169D" w14:textId="77777777" w:rsidR="00120DDD" w:rsidRDefault="00120DDD" w:rsidP="00D90352">
      <w:pPr>
        <w:pStyle w:val="NoSpacing"/>
        <w:jc w:val="both"/>
        <w:rPr>
          <w:rFonts w:ascii="Cambria" w:hAnsi="Cambria"/>
          <w:iCs/>
          <w:color w:val="000000" w:themeColor="text1"/>
          <w:sz w:val="24"/>
          <w:szCs w:val="24"/>
        </w:rPr>
      </w:pPr>
    </w:p>
    <w:p w14:paraId="7EF274C5" w14:textId="1AE09E0D" w:rsidR="00B75178" w:rsidRPr="00A23543" w:rsidRDefault="00566C35" w:rsidP="00D90352">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Advantageous numbers of judicial officers in the Magistrates Court and a shortage in the Supreme Court are also</w:t>
      </w:r>
      <w:r w:rsidR="00B75178" w:rsidRPr="00A23543">
        <w:rPr>
          <w:rFonts w:ascii="Cambria" w:hAnsi="Cambria"/>
          <w:iCs/>
          <w:color w:val="000000" w:themeColor="text1"/>
          <w:sz w:val="23"/>
          <w:szCs w:val="23"/>
        </w:rPr>
        <w:t xml:space="preserve"> </w:t>
      </w:r>
      <w:r w:rsidRPr="00A23543">
        <w:rPr>
          <w:rFonts w:ascii="Cambria" w:hAnsi="Cambria"/>
          <w:iCs/>
          <w:color w:val="000000" w:themeColor="text1"/>
          <w:sz w:val="23"/>
          <w:szCs w:val="23"/>
        </w:rPr>
        <w:t>reflected</w:t>
      </w:r>
      <w:r w:rsidR="00B75178" w:rsidRPr="00A23543">
        <w:rPr>
          <w:rFonts w:ascii="Cambria" w:hAnsi="Cambria"/>
          <w:iCs/>
          <w:color w:val="000000" w:themeColor="text1"/>
          <w:sz w:val="23"/>
          <w:szCs w:val="23"/>
        </w:rPr>
        <w:t xml:space="preserve"> for civil matters as the graph below highlight</w:t>
      </w:r>
      <w:r w:rsidR="00A23543">
        <w:rPr>
          <w:rFonts w:ascii="Cambria" w:hAnsi="Cambria"/>
          <w:iCs/>
          <w:color w:val="000000" w:themeColor="text1"/>
          <w:sz w:val="23"/>
          <w:szCs w:val="23"/>
        </w:rPr>
        <w:t>s</w:t>
      </w:r>
      <w:r w:rsidR="00B75178" w:rsidRPr="00A23543">
        <w:rPr>
          <w:rFonts w:ascii="Cambria" w:hAnsi="Cambria"/>
          <w:iCs/>
          <w:color w:val="000000" w:themeColor="text1"/>
          <w:sz w:val="23"/>
          <w:szCs w:val="23"/>
        </w:rPr>
        <w:t xml:space="preserve">. </w:t>
      </w:r>
    </w:p>
    <w:p w14:paraId="143B9938" w14:textId="77777777" w:rsidR="00424FD3" w:rsidRDefault="00424FD3" w:rsidP="00D90352">
      <w:pPr>
        <w:pStyle w:val="NoSpacing"/>
        <w:jc w:val="both"/>
        <w:rPr>
          <w:rFonts w:ascii="Cambria" w:hAnsi="Cambria"/>
          <w:iCs/>
          <w:color w:val="000000" w:themeColor="text1"/>
          <w:sz w:val="24"/>
          <w:szCs w:val="24"/>
        </w:rPr>
      </w:pPr>
    </w:p>
    <w:p w14:paraId="765D6286" w14:textId="77777777" w:rsidR="00A23543" w:rsidRDefault="00A23543" w:rsidP="00E22CAA">
      <w:pPr>
        <w:pStyle w:val="NoSpacing"/>
        <w:jc w:val="center"/>
        <w:rPr>
          <w:rFonts w:ascii="Cambria" w:hAnsi="Cambria"/>
          <w:b/>
          <w:bCs/>
          <w:iCs/>
          <w:color w:val="000000" w:themeColor="text1"/>
          <w:sz w:val="23"/>
          <w:szCs w:val="23"/>
        </w:rPr>
      </w:pPr>
    </w:p>
    <w:p w14:paraId="5D0DAEE6" w14:textId="77777777" w:rsidR="00A23543" w:rsidRDefault="00A23543" w:rsidP="00E22CAA">
      <w:pPr>
        <w:pStyle w:val="NoSpacing"/>
        <w:jc w:val="center"/>
        <w:rPr>
          <w:rFonts w:ascii="Cambria" w:hAnsi="Cambria"/>
          <w:b/>
          <w:bCs/>
          <w:iCs/>
          <w:color w:val="000000" w:themeColor="text1"/>
          <w:sz w:val="23"/>
          <w:szCs w:val="23"/>
        </w:rPr>
      </w:pPr>
    </w:p>
    <w:p w14:paraId="007F9196" w14:textId="77777777" w:rsidR="00A23543" w:rsidRDefault="00A23543" w:rsidP="00E22CAA">
      <w:pPr>
        <w:pStyle w:val="NoSpacing"/>
        <w:jc w:val="center"/>
        <w:rPr>
          <w:rFonts w:ascii="Cambria" w:hAnsi="Cambria"/>
          <w:b/>
          <w:bCs/>
          <w:iCs/>
          <w:color w:val="000000" w:themeColor="text1"/>
          <w:sz w:val="23"/>
          <w:szCs w:val="23"/>
        </w:rPr>
      </w:pPr>
    </w:p>
    <w:p w14:paraId="70A3B05A" w14:textId="77777777" w:rsidR="00A23543" w:rsidRDefault="00A23543" w:rsidP="00E22CAA">
      <w:pPr>
        <w:pStyle w:val="NoSpacing"/>
        <w:jc w:val="center"/>
        <w:rPr>
          <w:rFonts w:ascii="Cambria" w:hAnsi="Cambria"/>
          <w:b/>
          <w:bCs/>
          <w:iCs/>
          <w:color w:val="000000" w:themeColor="text1"/>
          <w:sz w:val="23"/>
          <w:szCs w:val="23"/>
        </w:rPr>
      </w:pPr>
    </w:p>
    <w:p w14:paraId="786CCA99" w14:textId="77777777" w:rsidR="00A23543" w:rsidRDefault="00A23543" w:rsidP="00E22CAA">
      <w:pPr>
        <w:pStyle w:val="NoSpacing"/>
        <w:jc w:val="center"/>
        <w:rPr>
          <w:rFonts w:ascii="Cambria" w:hAnsi="Cambria"/>
          <w:b/>
          <w:bCs/>
          <w:iCs/>
          <w:color w:val="000000" w:themeColor="text1"/>
          <w:sz w:val="23"/>
          <w:szCs w:val="23"/>
        </w:rPr>
      </w:pPr>
    </w:p>
    <w:p w14:paraId="6123817E" w14:textId="77777777" w:rsidR="00A23543" w:rsidRDefault="00A23543" w:rsidP="00E22CAA">
      <w:pPr>
        <w:pStyle w:val="NoSpacing"/>
        <w:jc w:val="center"/>
        <w:rPr>
          <w:rFonts w:ascii="Cambria" w:hAnsi="Cambria"/>
          <w:b/>
          <w:bCs/>
          <w:iCs/>
          <w:color w:val="000000" w:themeColor="text1"/>
          <w:sz w:val="23"/>
          <w:szCs w:val="23"/>
        </w:rPr>
      </w:pPr>
    </w:p>
    <w:p w14:paraId="6679316F" w14:textId="77777777" w:rsidR="00A23543" w:rsidRDefault="00A23543" w:rsidP="00E22CAA">
      <w:pPr>
        <w:pStyle w:val="NoSpacing"/>
        <w:jc w:val="center"/>
        <w:rPr>
          <w:rFonts w:ascii="Cambria" w:hAnsi="Cambria"/>
          <w:b/>
          <w:bCs/>
          <w:iCs/>
          <w:color w:val="000000" w:themeColor="text1"/>
          <w:sz w:val="23"/>
          <w:szCs w:val="23"/>
        </w:rPr>
      </w:pPr>
    </w:p>
    <w:p w14:paraId="0B79F4E5" w14:textId="2A2B9ED6" w:rsidR="00E22CAA" w:rsidRPr="00A23543" w:rsidRDefault="00E22CAA" w:rsidP="00E22CAA">
      <w:pPr>
        <w:pStyle w:val="NoSpacing"/>
        <w:jc w:val="center"/>
        <w:rPr>
          <w:rFonts w:ascii="Cambria" w:hAnsi="Cambria"/>
          <w:b/>
          <w:bCs/>
          <w:iCs/>
          <w:color w:val="000000" w:themeColor="text1"/>
          <w:sz w:val="23"/>
          <w:szCs w:val="23"/>
        </w:rPr>
      </w:pPr>
      <w:r w:rsidRPr="00A23543">
        <w:rPr>
          <w:rFonts w:ascii="Cambria" w:hAnsi="Cambria"/>
          <w:b/>
          <w:bCs/>
          <w:iCs/>
          <w:color w:val="000000" w:themeColor="text1"/>
          <w:sz w:val="23"/>
          <w:szCs w:val="23"/>
        </w:rPr>
        <w:lastRenderedPageBreak/>
        <w:t xml:space="preserve">Number of FTE judicial officers per 1,000 finalisations -  </w:t>
      </w:r>
    </w:p>
    <w:p w14:paraId="60B4B029" w14:textId="2E0D3FD7" w:rsidR="00E22CAA" w:rsidRPr="00A23543" w:rsidRDefault="00E22CAA" w:rsidP="00E22CAA">
      <w:pPr>
        <w:pStyle w:val="NoSpacing"/>
        <w:jc w:val="center"/>
        <w:rPr>
          <w:rFonts w:ascii="Cambria" w:hAnsi="Cambria"/>
          <w:b/>
          <w:bCs/>
          <w:iCs/>
          <w:color w:val="000000" w:themeColor="text1"/>
          <w:sz w:val="23"/>
          <w:szCs w:val="23"/>
        </w:rPr>
      </w:pPr>
      <w:r w:rsidRPr="00A23543">
        <w:rPr>
          <w:rFonts w:ascii="Cambria" w:hAnsi="Cambria"/>
          <w:b/>
          <w:bCs/>
          <w:iCs/>
          <w:color w:val="000000" w:themeColor="text1"/>
          <w:sz w:val="23"/>
          <w:szCs w:val="23"/>
        </w:rPr>
        <w:t>Civil Matters in the Magistrates and Supreme Courts</w:t>
      </w:r>
    </w:p>
    <w:tbl>
      <w:tblPr>
        <w:tblStyle w:val="TableGrid"/>
        <w:tblW w:w="9067" w:type="dxa"/>
        <w:jc w:val="center"/>
        <w:tblLayout w:type="fixed"/>
        <w:tblLook w:val="04A0" w:firstRow="1" w:lastRow="0" w:firstColumn="1" w:lastColumn="0" w:noHBand="0" w:noVBand="1"/>
      </w:tblPr>
      <w:tblGrid>
        <w:gridCol w:w="1275"/>
        <w:gridCol w:w="1298"/>
        <w:gridCol w:w="1298"/>
        <w:gridCol w:w="1303"/>
        <w:gridCol w:w="1297"/>
        <w:gridCol w:w="1298"/>
        <w:gridCol w:w="1298"/>
      </w:tblGrid>
      <w:tr w:rsidR="00E22CAA" w:rsidRPr="00A23543" w14:paraId="4D62F034" w14:textId="77777777" w:rsidTr="003D1D81">
        <w:trPr>
          <w:jc w:val="center"/>
        </w:trPr>
        <w:tc>
          <w:tcPr>
            <w:tcW w:w="1275" w:type="dxa"/>
            <w:vMerge w:val="restart"/>
          </w:tcPr>
          <w:p w14:paraId="0ED6ECDD" w14:textId="77777777" w:rsidR="00E22CAA" w:rsidRPr="00A23543" w:rsidRDefault="00E22CAA" w:rsidP="003D1D81">
            <w:pPr>
              <w:pStyle w:val="NoSpacing"/>
              <w:jc w:val="both"/>
              <w:rPr>
                <w:rFonts w:ascii="Cambria" w:hAnsi="Cambria"/>
                <w:iCs/>
                <w:color w:val="000000" w:themeColor="text1"/>
                <w:sz w:val="23"/>
                <w:szCs w:val="23"/>
              </w:rPr>
            </w:pPr>
          </w:p>
        </w:tc>
        <w:tc>
          <w:tcPr>
            <w:tcW w:w="3901" w:type="dxa"/>
            <w:gridSpan w:val="3"/>
          </w:tcPr>
          <w:p w14:paraId="66499733" w14:textId="77777777" w:rsidR="00E22CAA" w:rsidRPr="00A23543" w:rsidRDefault="00E22CAA" w:rsidP="003D1D81">
            <w:pPr>
              <w:pStyle w:val="NoSpacing"/>
              <w:jc w:val="center"/>
              <w:rPr>
                <w:rFonts w:ascii="Cambria" w:hAnsi="Cambria"/>
                <w:iCs/>
                <w:color w:val="000000" w:themeColor="text1"/>
                <w:sz w:val="23"/>
                <w:szCs w:val="23"/>
              </w:rPr>
            </w:pPr>
            <w:r w:rsidRPr="00A23543">
              <w:rPr>
                <w:rFonts w:ascii="Cambria" w:hAnsi="Cambria"/>
                <w:b/>
                <w:bCs/>
                <w:iCs/>
                <w:color w:val="000000" w:themeColor="text1"/>
                <w:sz w:val="23"/>
                <w:szCs w:val="23"/>
              </w:rPr>
              <w:t>Magistrates Court</w:t>
            </w:r>
          </w:p>
        </w:tc>
        <w:tc>
          <w:tcPr>
            <w:tcW w:w="3891" w:type="dxa"/>
            <w:gridSpan w:val="3"/>
          </w:tcPr>
          <w:p w14:paraId="303A7338" w14:textId="77777777" w:rsidR="00E22CAA" w:rsidRPr="00A23543" w:rsidRDefault="00E22CAA" w:rsidP="003D1D81">
            <w:pPr>
              <w:pStyle w:val="NoSpacing"/>
              <w:jc w:val="center"/>
              <w:rPr>
                <w:rFonts w:ascii="Cambria" w:hAnsi="Cambria"/>
                <w:iCs/>
                <w:color w:val="000000" w:themeColor="text1"/>
                <w:sz w:val="23"/>
                <w:szCs w:val="23"/>
              </w:rPr>
            </w:pPr>
            <w:r w:rsidRPr="00A23543">
              <w:rPr>
                <w:rFonts w:ascii="Cambria" w:hAnsi="Cambria"/>
                <w:b/>
                <w:bCs/>
                <w:iCs/>
                <w:color w:val="000000" w:themeColor="text1"/>
                <w:sz w:val="23"/>
                <w:szCs w:val="23"/>
              </w:rPr>
              <w:t>Supreme Court</w:t>
            </w:r>
          </w:p>
        </w:tc>
      </w:tr>
      <w:tr w:rsidR="00E22CAA" w:rsidRPr="00A23543" w14:paraId="6836FEAB" w14:textId="77777777" w:rsidTr="003D1D81">
        <w:trPr>
          <w:jc w:val="center"/>
        </w:trPr>
        <w:tc>
          <w:tcPr>
            <w:tcW w:w="1275" w:type="dxa"/>
            <w:vMerge/>
          </w:tcPr>
          <w:p w14:paraId="67A5D1F5" w14:textId="77777777" w:rsidR="00E22CAA" w:rsidRPr="00A23543" w:rsidRDefault="00E22CAA" w:rsidP="003D1D81">
            <w:pPr>
              <w:pStyle w:val="NoSpacing"/>
              <w:jc w:val="both"/>
              <w:rPr>
                <w:rFonts w:ascii="Cambria" w:hAnsi="Cambria"/>
                <w:iCs/>
                <w:color w:val="000000" w:themeColor="text1"/>
                <w:sz w:val="23"/>
                <w:szCs w:val="23"/>
              </w:rPr>
            </w:pPr>
          </w:p>
        </w:tc>
        <w:tc>
          <w:tcPr>
            <w:tcW w:w="1298" w:type="dxa"/>
          </w:tcPr>
          <w:p w14:paraId="5F748064"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Tasmania</w:t>
            </w:r>
          </w:p>
        </w:tc>
        <w:tc>
          <w:tcPr>
            <w:tcW w:w="1299" w:type="dxa"/>
          </w:tcPr>
          <w:p w14:paraId="136E54BF"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Australian average</w:t>
            </w:r>
          </w:p>
        </w:tc>
        <w:tc>
          <w:tcPr>
            <w:tcW w:w="1299" w:type="dxa"/>
          </w:tcPr>
          <w:p w14:paraId="0AB5E3C1"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Difference</w:t>
            </w:r>
          </w:p>
          <w:p w14:paraId="7EEF17B6"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298" w:type="dxa"/>
          </w:tcPr>
          <w:p w14:paraId="356D8E97"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Tasmania</w:t>
            </w:r>
          </w:p>
        </w:tc>
        <w:tc>
          <w:tcPr>
            <w:tcW w:w="1299" w:type="dxa"/>
          </w:tcPr>
          <w:p w14:paraId="4703F8DE"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Australian average</w:t>
            </w:r>
          </w:p>
        </w:tc>
        <w:tc>
          <w:tcPr>
            <w:tcW w:w="1299" w:type="dxa"/>
          </w:tcPr>
          <w:p w14:paraId="7E6F3775"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Difference</w:t>
            </w:r>
          </w:p>
          <w:p w14:paraId="0BAF8967"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r>
      <w:tr w:rsidR="00E22CAA" w:rsidRPr="00A23543" w14:paraId="1429B5FD" w14:textId="77777777" w:rsidTr="003D1D81">
        <w:trPr>
          <w:jc w:val="center"/>
        </w:trPr>
        <w:tc>
          <w:tcPr>
            <w:tcW w:w="1275" w:type="dxa"/>
          </w:tcPr>
          <w:p w14:paraId="20D4E68D"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2015-16</w:t>
            </w:r>
          </w:p>
        </w:tc>
        <w:tc>
          <w:tcPr>
            <w:tcW w:w="1298" w:type="dxa"/>
          </w:tcPr>
          <w:p w14:paraId="229D6F70"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0.3</w:t>
            </w:r>
          </w:p>
        </w:tc>
        <w:tc>
          <w:tcPr>
            <w:tcW w:w="1299" w:type="dxa"/>
          </w:tcPr>
          <w:p w14:paraId="0CC8E8B8"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0.3</w:t>
            </w:r>
          </w:p>
        </w:tc>
        <w:tc>
          <w:tcPr>
            <w:tcW w:w="1299" w:type="dxa"/>
          </w:tcPr>
          <w:p w14:paraId="129483D5"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298" w:type="dxa"/>
          </w:tcPr>
          <w:p w14:paraId="66924391"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3.7</w:t>
            </w:r>
          </w:p>
        </w:tc>
        <w:tc>
          <w:tcPr>
            <w:tcW w:w="1299" w:type="dxa"/>
          </w:tcPr>
          <w:p w14:paraId="1436EC91"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5.0</w:t>
            </w:r>
          </w:p>
        </w:tc>
        <w:tc>
          <w:tcPr>
            <w:tcW w:w="1299" w:type="dxa"/>
          </w:tcPr>
          <w:p w14:paraId="1A1E36D1"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-26.00</w:t>
            </w:r>
          </w:p>
        </w:tc>
      </w:tr>
      <w:tr w:rsidR="00E22CAA" w:rsidRPr="00A23543" w14:paraId="23335E45" w14:textId="77777777" w:rsidTr="003D1D81">
        <w:trPr>
          <w:jc w:val="center"/>
        </w:trPr>
        <w:tc>
          <w:tcPr>
            <w:tcW w:w="1275" w:type="dxa"/>
          </w:tcPr>
          <w:p w14:paraId="1F375805"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2016-17</w:t>
            </w:r>
          </w:p>
        </w:tc>
        <w:tc>
          <w:tcPr>
            <w:tcW w:w="1298" w:type="dxa"/>
          </w:tcPr>
          <w:p w14:paraId="293878A2"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0.3</w:t>
            </w:r>
          </w:p>
        </w:tc>
        <w:tc>
          <w:tcPr>
            <w:tcW w:w="1299" w:type="dxa"/>
          </w:tcPr>
          <w:p w14:paraId="767896E5"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0.3</w:t>
            </w:r>
          </w:p>
        </w:tc>
        <w:tc>
          <w:tcPr>
            <w:tcW w:w="1299" w:type="dxa"/>
          </w:tcPr>
          <w:p w14:paraId="0B41CA4D"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298" w:type="dxa"/>
          </w:tcPr>
          <w:p w14:paraId="75FAB03B"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3.8</w:t>
            </w:r>
          </w:p>
        </w:tc>
        <w:tc>
          <w:tcPr>
            <w:tcW w:w="1299" w:type="dxa"/>
          </w:tcPr>
          <w:p w14:paraId="2D47B37B"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5.9</w:t>
            </w:r>
          </w:p>
        </w:tc>
        <w:tc>
          <w:tcPr>
            <w:tcW w:w="1299" w:type="dxa"/>
          </w:tcPr>
          <w:p w14:paraId="32BD4CAD"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-35.60</w:t>
            </w:r>
          </w:p>
        </w:tc>
      </w:tr>
      <w:tr w:rsidR="00E22CAA" w:rsidRPr="00A23543" w14:paraId="6E675F0A" w14:textId="77777777" w:rsidTr="003D1D81">
        <w:trPr>
          <w:jc w:val="center"/>
        </w:trPr>
        <w:tc>
          <w:tcPr>
            <w:tcW w:w="1275" w:type="dxa"/>
          </w:tcPr>
          <w:p w14:paraId="04B4333E"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2017-18</w:t>
            </w:r>
          </w:p>
        </w:tc>
        <w:tc>
          <w:tcPr>
            <w:tcW w:w="1298" w:type="dxa"/>
          </w:tcPr>
          <w:p w14:paraId="101E9184"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0.3</w:t>
            </w:r>
          </w:p>
        </w:tc>
        <w:tc>
          <w:tcPr>
            <w:tcW w:w="1299" w:type="dxa"/>
          </w:tcPr>
          <w:p w14:paraId="7FC12D12"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0.3</w:t>
            </w:r>
          </w:p>
        </w:tc>
        <w:tc>
          <w:tcPr>
            <w:tcW w:w="1299" w:type="dxa"/>
          </w:tcPr>
          <w:p w14:paraId="30EB0D9E"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298" w:type="dxa"/>
          </w:tcPr>
          <w:p w14:paraId="44762676"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4.7</w:t>
            </w:r>
          </w:p>
        </w:tc>
        <w:tc>
          <w:tcPr>
            <w:tcW w:w="1299" w:type="dxa"/>
          </w:tcPr>
          <w:p w14:paraId="03AE6253"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6.3</w:t>
            </w:r>
          </w:p>
        </w:tc>
        <w:tc>
          <w:tcPr>
            <w:tcW w:w="1299" w:type="dxa"/>
          </w:tcPr>
          <w:p w14:paraId="53FEBB61"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-25.40</w:t>
            </w:r>
          </w:p>
        </w:tc>
      </w:tr>
      <w:tr w:rsidR="00E22CAA" w:rsidRPr="00A23543" w14:paraId="71164E2E" w14:textId="77777777" w:rsidTr="003D1D81">
        <w:trPr>
          <w:jc w:val="center"/>
        </w:trPr>
        <w:tc>
          <w:tcPr>
            <w:tcW w:w="1275" w:type="dxa"/>
          </w:tcPr>
          <w:p w14:paraId="0EB5E491"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2018-19</w:t>
            </w:r>
          </w:p>
        </w:tc>
        <w:tc>
          <w:tcPr>
            <w:tcW w:w="1298" w:type="dxa"/>
          </w:tcPr>
          <w:p w14:paraId="730E51BC"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0.3</w:t>
            </w:r>
          </w:p>
        </w:tc>
        <w:tc>
          <w:tcPr>
            <w:tcW w:w="1299" w:type="dxa"/>
          </w:tcPr>
          <w:p w14:paraId="076288F2"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0.3</w:t>
            </w:r>
          </w:p>
        </w:tc>
        <w:tc>
          <w:tcPr>
            <w:tcW w:w="1299" w:type="dxa"/>
          </w:tcPr>
          <w:p w14:paraId="6A2C51C0"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298" w:type="dxa"/>
          </w:tcPr>
          <w:p w14:paraId="4149288A"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5.0</w:t>
            </w:r>
          </w:p>
        </w:tc>
        <w:tc>
          <w:tcPr>
            <w:tcW w:w="1299" w:type="dxa"/>
          </w:tcPr>
          <w:p w14:paraId="2EA4FE4A"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6.2</w:t>
            </w:r>
          </w:p>
        </w:tc>
        <w:tc>
          <w:tcPr>
            <w:tcW w:w="1299" w:type="dxa"/>
          </w:tcPr>
          <w:p w14:paraId="0ABC33A7"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-19.36</w:t>
            </w:r>
          </w:p>
        </w:tc>
      </w:tr>
      <w:tr w:rsidR="00E22CAA" w:rsidRPr="00A23543" w14:paraId="4C68686C" w14:textId="77777777" w:rsidTr="003D1D81">
        <w:trPr>
          <w:jc w:val="center"/>
        </w:trPr>
        <w:tc>
          <w:tcPr>
            <w:tcW w:w="1275" w:type="dxa"/>
          </w:tcPr>
          <w:p w14:paraId="7FC2239B"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2019-20</w:t>
            </w:r>
          </w:p>
        </w:tc>
        <w:tc>
          <w:tcPr>
            <w:tcW w:w="1298" w:type="dxa"/>
          </w:tcPr>
          <w:p w14:paraId="55DCFCE6"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0.3</w:t>
            </w:r>
          </w:p>
        </w:tc>
        <w:tc>
          <w:tcPr>
            <w:tcW w:w="1299" w:type="dxa"/>
          </w:tcPr>
          <w:p w14:paraId="19DEECAF"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0.3</w:t>
            </w:r>
          </w:p>
        </w:tc>
        <w:tc>
          <w:tcPr>
            <w:tcW w:w="1299" w:type="dxa"/>
          </w:tcPr>
          <w:p w14:paraId="182AA2FC"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298" w:type="dxa"/>
          </w:tcPr>
          <w:p w14:paraId="36BB53DF"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4.3</w:t>
            </w:r>
          </w:p>
        </w:tc>
        <w:tc>
          <w:tcPr>
            <w:tcW w:w="1299" w:type="dxa"/>
          </w:tcPr>
          <w:p w14:paraId="4B8D5FF0"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6.5</w:t>
            </w:r>
          </w:p>
        </w:tc>
        <w:tc>
          <w:tcPr>
            <w:tcW w:w="1299" w:type="dxa"/>
          </w:tcPr>
          <w:p w14:paraId="09A6506F"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-33.85</w:t>
            </w:r>
          </w:p>
        </w:tc>
      </w:tr>
      <w:tr w:rsidR="00E22CAA" w:rsidRPr="00A23543" w14:paraId="243104A5" w14:textId="77777777" w:rsidTr="003D1D81">
        <w:trPr>
          <w:jc w:val="center"/>
        </w:trPr>
        <w:tc>
          <w:tcPr>
            <w:tcW w:w="1275" w:type="dxa"/>
          </w:tcPr>
          <w:p w14:paraId="5C7AD69E"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2020-21</w:t>
            </w:r>
          </w:p>
        </w:tc>
        <w:tc>
          <w:tcPr>
            <w:tcW w:w="1298" w:type="dxa"/>
          </w:tcPr>
          <w:p w14:paraId="6F884E00"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299" w:type="dxa"/>
          </w:tcPr>
          <w:p w14:paraId="5B2557B3"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299" w:type="dxa"/>
          </w:tcPr>
          <w:p w14:paraId="42A2580D"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w:t>
            </w:r>
          </w:p>
        </w:tc>
        <w:tc>
          <w:tcPr>
            <w:tcW w:w="1298" w:type="dxa"/>
          </w:tcPr>
          <w:p w14:paraId="6918C562"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4.1</w:t>
            </w:r>
          </w:p>
        </w:tc>
        <w:tc>
          <w:tcPr>
            <w:tcW w:w="1299" w:type="dxa"/>
          </w:tcPr>
          <w:p w14:paraId="7659388F"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7.8</w:t>
            </w:r>
          </w:p>
        </w:tc>
        <w:tc>
          <w:tcPr>
            <w:tcW w:w="1299" w:type="dxa"/>
          </w:tcPr>
          <w:p w14:paraId="57DBBEBC"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-47.44</w:t>
            </w:r>
          </w:p>
        </w:tc>
      </w:tr>
      <w:tr w:rsidR="00E22CAA" w:rsidRPr="00A23543" w14:paraId="04022AA8" w14:textId="77777777" w:rsidTr="003D1D81">
        <w:trPr>
          <w:jc w:val="center"/>
        </w:trPr>
        <w:tc>
          <w:tcPr>
            <w:tcW w:w="1275" w:type="dxa"/>
          </w:tcPr>
          <w:p w14:paraId="078BF953"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2021-22</w:t>
            </w:r>
          </w:p>
        </w:tc>
        <w:tc>
          <w:tcPr>
            <w:tcW w:w="1298" w:type="dxa"/>
          </w:tcPr>
          <w:p w14:paraId="1FE88E4A"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299" w:type="dxa"/>
          </w:tcPr>
          <w:p w14:paraId="37A77C02"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299" w:type="dxa"/>
          </w:tcPr>
          <w:p w14:paraId="2F4D2B60" w14:textId="77777777" w:rsidR="00E22CAA" w:rsidRPr="00A23543" w:rsidRDefault="00E22CAA" w:rsidP="003D1D81">
            <w:pPr>
              <w:pStyle w:val="NoSpacing"/>
              <w:jc w:val="both"/>
              <w:rPr>
                <w:rFonts w:ascii="Cambria" w:hAnsi="Cambria"/>
                <w:iCs/>
                <w:color w:val="EE0000"/>
                <w:sz w:val="23"/>
                <w:szCs w:val="23"/>
              </w:rPr>
            </w:pPr>
            <w:r w:rsidRPr="00A23543">
              <w:rPr>
                <w:rFonts w:ascii="Cambria" w:hAnsi="Cambria"/>
                <w:iCs/>
                <w:color w:val="00B050"/>
                <w:sz w:val="23"/>
                <w:szCs w:val="23"/>
              </w:rPr>
              <w:t>+16.67</w:t>
            </w:r>
          </w:p>
        </w:tc>
        <w:tc>
          <w:tcPr>
            <w:tcW w:w="1298" w:type="dxa"/>
          </w:tcPr>
          <w:p w14:paraId="3E85C2C3"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4.5</w:t>
            </w:r>
          </w:p>
        </w:tc>
        <w:tc>
          <w:tcPr>
            <w:tcW w:w="1299" w:type="dxa"/>
          </w:tcPr>
          <w:p w14:paraId="2C8D9838"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7.8</w:t>
            </w:r>
          </w:p>
        </w:tc>
        <w:tc>
          <w:tcPr>
            <w:tcW w:w="1299" w:type="dxa"/>
          </w:tcPr>
          <w:p w14:paraId="4F156CF7"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EE0000"/>
                <w:sz w:val="23"/>
                <w:szCs w:val="23"/>
              </w:rPr>
              <w:t>-40.00</w:t>
            </w:r>
          </w:p>
        </w:tc>
      </w:tr>
      <w:tr w:rsidR="00E22CAA" w:rsidRPr="00A23543" w14:paraId="7D6EB325" w14:textId="77777777" w:rsidTr="003D1D81">
        <w:trPr>
          <w:jc w:val="center"/>
        </w:trPr>
        <w:tc>
          <w:tcPr>
            <w:tcW w:w="1275" w:type="dxa"/>
          </w:tcPr>
          <w:p w14:paraId="622B2A39"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2022-23</w:t>
            </w:r>
          </w:p>
        </w:tc>
        <w:tc>
          <w:tcPr>
            <w:tcW w:w="1298" w:type="dxa"/>
          </w:tcPr>
          <w:p w14:paraId="2CFFB994"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299" w:type="dxa"/>
          </w:tcPr>
          <w:p w14:paraId="697F39AE"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299" w:type="dxa"/>
          </w:tcPr>
          <w:p w14:paraId="50D4BD06"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B050"/>
                <w:sz w:val="23"/>
                <w:szCs w:val="23"/>
              </w:rPr>
              <w:t>+28.58</w:t>
            </w:r>
          </w:p>
        </w:tc>
        <w:tc>
          <w:tcPr>
            <w:tcW w:w="1298" w:type="dxa"/>
          </w:tcPr>
          <w:p w14:paraId="0C646FD7"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4.5</w:t>
            </w:r>
          </w:p>
        </w:tc>
        <w:tc>
          <w:tcPr>
            <w:tcW w:w="1299" w:type="dxa"/>
          </w:tcPr>
          <w:p w14:paraId="04234AB9"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7.5</w:t>
            </w:r>
          </w:p>
        </w:tc>
        <w:tc>
          <w:tcPr>
            <w:tcW w:w="1299" w:type="dxa"/>
          </w:tcPr>
          <w:p w14:paraId="58F656D9"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EE0000"/>
                <w:sz w:val="23"/>
                <w:szCs w:val="23"/>
              </w:rPr>
              <w:t>-26.09</w:t>
            </w:r>
          </w:p>
        </w:tc>
      </w:tr>
      <w:tr w:rsidR="00E22CAA" w:rsidRPr="00A23543" w14:paraId="7D75B7F1" w14:textId="77777777" w:rsidTr="003D1D81">
        <w:trPr>
          <w:jc w:val="center"/>
        </w:trPr>
        <w:tc>
          <w:tcPr>
            <w:tcW w:w="1275" w:type="dxa"/>
          </w:tcPr>
          <w:p w14:paraId="1ADB9D5C"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2023-24</w:t>
            </w:r>
          </w:p>
        </w:tc>
        <w:tc>
          <w:tcPr>
            <w:tcW w:w="1298" w:type="dxa"/>
          </w:tcPr>
          <w:p w14:paraId="7630A31E"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299" w:type="dxa"/>
          </w:tcPr>
          <w:p w14:paraId="42EEA7CA"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299" w:type="dxa"/>
          </w:tcPr>
          <w:p w14:paraId="58A7CDD1"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B050"/>
                <w:sz w:val="23"/>
                <w:szCs w:val="23"/>
              </w:rPr>
              <w:t>+33.34</w:t>
            </w:r>
          </w:p>
        </w:tc>
        <w:tc>
          <w:tcPr>
            <w:tcW w:w="1298" w:type="dxa"/>
          </w:tcPr>
          <w:p w14:paraId="388FB82C"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3.9</w:t>
            </w:r>
          </w:p>
        </w:tc>
        <w:tc>
          <w:tcPr>
            <w:tcW w:w="1299" w:type="dxa"/>
          </w:tcPr>
          <w:p w14:paraId="7C994360"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7.3</w:t>
            </w:r>
          </w:p>
        </w:tc>
        <w:tc>
          <w:tcPr>
            <w:tcW w:w="1299" w:type="dxa"/>
          </w:tcPr>
          <w:p w14:paraId="1EBAC073"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EE0000"/>
                <w:sz w:val="23"/>
                <w:szCs w:val="23"/>
              </w:rPr>
              <w:t>-46.58</w:t>
            </w:r>
          </w:p>
        </w:tc>
      </w:tr>
      <w:tr w:rsidR="00E22CAA" w:rsidRPr="00A23543" w14:paraId="779DF4D9" w14:textId="77777777" w:rsidTr="003D1D81">
        <w:trPr>
          <w:jc w:val="center"/>
        </w:trPr>
        <w:tc>
          <w:tcPr>
            <w:tcW w:w="1275" w:type="dxa"/>
          </w:tcPr>
          <w:p w14:paraId="281E9349"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2024-25</w:t>
            </w:r>
          </w:p>
        </w:tc>
        <w:tc>
          <w:tcPr>
            <w:tcW w:w="1298" w:type="dxa"/>
          </w:tcPr>
          <w:p w14:paraId="38051F3A"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299" w:type="dxa"/>
          </w:tcPr>
          <w:p w14:paraId="378BC764"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299" w:type="dxa"/>
          </w:tcPr>
          <w:p w14:paraId="086D2092"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B050"/>
                <w:sz w:val="23"/>
                <w:szCs w:val="23"/>
              </w:rPr>
              <w:t>+33.34</w:t>
            </w:r>
          </w:p>
        </w:tc>
        <w:tc>
          <w:tcPr>
            <w:tcW w:w="1298" w:type="dxa"/>
          </w:tcPr>
          <w:p w14:paraId="5D874153"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3.9</w:t>
            </w:r>
          </w:p>
        </w:tc>
        <w:tc>
          <w:tcPr>
            <w:tcW w:w="1299" w:type="dxa"/>
          </w:tcPr>
          <w:p w14:paraId="28E20783"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6.7</w:t>
            </w:r>
          </w:p>
        </w:tc>
        <w:tc>
          <w:tcPr>
            <w:tcW w:w="1299" w:type="dxa"/>
          </w:tcPr>
          <w:p w14:paraId="0246F7D2"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EE0000"/>
                <w:sz w:val="23"/>
                <w:szCs w:val="23"/>
              </w:rPr>
              <w:t>-41.80</w:t>
            </w:r>
          </w:p>
        </w:tc>
      </w:tr>
    </w:tbl>
    <w:p w14:paraId="01C72691" w14:textId="77777777" w:rsidR="00E22CAA" w:rsidRPr="00020EA6" w:rsidRDefault="00E22CAA" w:rsidP="00E22CAA">
      <w:pPr>
        <w:pStyle w:val="NoSpacing"/>
        <w:ind w:right="1275"/>
        <w:jc w:val="both"/>
        <w:rPr>
          <w:rFonts w:ascii="Cambria" w:hAnsi="Cambria"/>
          <w:iCs/>
          <w:color w:val="000000" w:themeColor="text1"/>
          <w:sz w:val="20"/>
          <w:szCs w:val="20"/>
        </w:rPr>
      </w:pPr>
      <w:r w:rsidRPr="00020EA6">
        <w:rPr>
          <w:rFonts w:ascii="Cambria" w:hAnsi="Cambria"/>
          <w:iCs/>
          <w:color w:val="000000" w:themeColor="text1"/>
          <w:sz w:val="20"/>
          <w:szCs w:val="20"/>
        </w:rPr>
        <w:t>Source: Productivity Commission, Report on Government Services 2026, Courts, Table 7A.2</w:t>
      </w:r>
      <w:r>
        <w:rPr>
          <w:rFonts w:ascii="Cambria" w:hAnsi="Cambria"/>
          <w:iCs/>
          <w:color w:val="000000" w:themeColor="text1"/>
          <w:sz w:val="20"/>
          <w:szCs w:val="20"/>
        </w:rPr>
        <w:t>9</w:t>
      </w:r>
    </w:p>
    <w:p w14:paraId="09414AFB" w14:textId="77777777" w:rsidR="00566C35" w:rsidRDefault="00566C35" w:rsidP="00D90352">
      <w:pPr>
        <w:pStyle w:val="NoSpacing"/>
        <w:jc w:val="both"/>
        <w:rPr>
          <w:rFonts w:ascii="Cambria" w:hAnsi="Cambria"/>
          <w:iCs/>
          <w:color w:val="000000" w:themeColor="text1"/>
          <w:sz w:val="24"/>
          <w:szCs w:val="24"/>
        </w:rPr>
      </w:pPr>
    </w:p>
    <w:p w14:paraId="17A00D0C" w14:textId="10904204" w:rsidR="00EB00C2" w:rsidRPr="00A23543" w:rsidRDefault="00EB00C2" w:rsidP="00D90352">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When all criminal and civil matters are combined in the Magistrates and Supreme Courts the data looks as follows:</w:t>
      </w:r>
    </w:p>
    <w:p w14:paraId="0C0FA7FB" w14:textId="77777777" w:rsidR="00740CD7" w:rsidRDefault="00740CD7" w:rsidP="00D90352">
      <w:pPr>
        <w:pStyle w:val="NoSpacing"/>
        <w:jc w:val="both"/>
        <w:rPr>
          <w:rFonts w:ascii="Cambria" w:hAnsi="Cambria"/>
          <w:iCs/>
          <w:color w:val="000000" w:themeColor="text1"/>
          <w:sz w:val="24"/>
          <w:szCs w:val="24"/>
        </w:rPr>
      </w:pPr>
    </w:p>
    <w:p w14:paraId="67634B04" w14:textId="77777777" w:rsidR="00E22CAA" w:rsidRPr="00A23543" w:rsidRDefault="00E22CAA" w:rsidP="00E22CAA">
      <w:pPr>
        <w:pStyle w:val="NoSpacing"/>
        <w:jc w:val="center"/>
        <w:rPr>
          <w:rFonts w:ascii="Cambria" w:hAnsi="Cambria"/>
          <w:b/>
          <w:bCs/>
          <w:iCs/>
          <w:color w:val="000000" w:themeColor="text1"/>
          <w:sz w:val="23"/>
          <w:szCs w:val="23"/>
        </w:rPr>
      </w:pPr>
      <w:r w:rsidRPr="00A23543">
        <w:rPr>
          <w:rFonts w:ascii="Cambria" w:hAnsi="Cambria"/>
          <w:b/>
          <w:bCs/>
          <w:iCs/>
          <w:color w:val="000000" w:themeColor="text1"/>
          <w:sz w:val="23"/>
          <w:szCs w:val="23"/>
        </w:rPr>
        <w:t xml:space="preserve">Number of FTE judicial officers per 1,000 finalisations -  </w:t>
      </w:r>
    </w:p>
    <w:p w14:paraId="6741CC71" w14:textId="725B7B4A" w:rsidR="00E22CAA" w:rsidRPr="00A23543" w:rsidRDefault="00E22CAA" w:rsidP="00E22CAA">
      <w:pPr>
        <w:pStyle w:val="NoSpacing"/>
        <w:jc w:val="center"/>
        <w:rPr>
          <w:rFonts w:ascii="Cambria" w:hAnsi="Cambria"/>
          <w:b/>
          <w:bCs/>
          <w:iCs/>
          <w:color w:val="000000" w:themeColor="text1"/>
          <w:sz w:val="23"/>
          <w:szCs w:val="23"/>
        </w:rPr>
      </w:pPr>
      <w:r w:rsidRPr="00A23543">
        <w:rPr>
          <w:rFonts w:ascii="Cambria" w:hAnsi="Cambria"/>
          <w:b/>
          <w:bCs/>
          <w:iCs/>
          <w:color w:val="000000" w:themeColor="text1"/>
          <w:sz w:val="23"/>
          <w:szCs w:val="23"/>
        </w:rPr>
        <w:t>All criminal and civil matters in the Magistrates and Supreme Courts</w:t>
      </w:r>
    </w:p>
    <w:tbl>
      <w:tblPr>
        <w:tblStyle w:val="TableGrid"/>
        <w:tblW w:w="9067" w:type="dxa"/>
        <w:jc w:val="center"/>
        <w:tblLayout w:type="fixed"/>
        <w:tblLook w:val="04A0" w:firstRow="1" w:lastRow="0" w:firstColumn="1" w:lastColumn="0" w:noHBand="0" w:noVBand="1"/>
      </w:tblPr>
      <w:tblGrid>
        <w:gridCol w:w="1271"/>
        <w:gridCol w:w="1299"/>
        <w:gridCol w:w="1299"/>
        <w:gridCol w:w="1300"/>
        <w:gridCol w:w="1299"/>
        <w:gridCol w:w="1299"/>
        <w:gridCol w:w="1300"/>
      </w:tblGrid>
      <w:tr w:rsidR="00E22CAA" w:rsidRPr="00A23543" w14:paraId="5BD8A6B5" w14:textId="77777777" w:rsidTr="003D1D81">
        <w:trPr>
          <w:jc w:val="center"/>
        </w:trPr>
        <w:tc>
          <w:tcPr>
            <w:tcW w:w="1271" w:type="dxa"/>
            <w:vMerge w:val="restart"/>
          </w:tcPr>
          <w:p w14:paraId="624CEBC8" w14:textId="77777777" w:rsidR="00E22CAA" w:rsidRPr="00A23543" w:rsidRDefault="00E22CAA" w:rsidP="003D1D81">
            <w:pPr>
              <w:pStyle w:val="NoSpacing"/>
              <w:jc w:val="both"/>
              <w:rPr>
                <w:rFonts w:ascii="Cambria" w:hAnsi="Cambria"/>
                <w:iCs/>
                <w:color w:val="000000" w:themeColor="text1"/>
                <w:sz w:val="23"/>
                <w:szCs w:val="23"/>
              </w:rPr>
            </w:pPr>
          </w:p>
        </w:tc>
        <w:tc>
          <w:tcPr>
            <w:tcW w:w="3898" w:type="dxa"/>
            <w:gridSpan w:val="3"/>
          </w:tcPr>
          <w:p w14:paraId="3BFE449A" w14:textId="77777777" w:rsidR="00E22CAA" w:rsidRPr="00A23543" w:rsidRDefault="00E22CAA" w:rsidP="003D1D81">
            <w:pPr>
              <w:pStyle w:val="NoSpacing"/>
              <w:jc w:val="center"/>
              <w:rPr>
                <w:rFonts w:ascii="Cambria" w:hAnsi="Cambria"/>
                <w:iCs/>
                <w:color w:val="000000" w:themeColor="text1"/>
                <w:sz w:val="23"/>
                <w:szCs w:val="23"/>
              </w:rPr>
            </w:pPr>
            <w:r w:rsidRPr="00A23543">
              <w:rPr>
                <w:rFonts w:ascii="Cambria" w:hAnsi="Cambria"/>
                <w:b/>
                <w:bCs/>
                <w:iCs/>
                <w:color w:val="000000" w:themeColor="text1"/>
                <w:sz w:val="23"/>
                <w:szCs w:val="23"/>
              </w:rPr>
              <w:t>Magistrates Court</w:t>
            </w:r>
          </w:p>
        </w:tc>
        <w:tc>
          <w:tcPr>
            <w:tcW w:w="3898" w:type="dxa"/>
            <w:gridSpan w:val="3"/>
          </w:tcPr>
          <w:p w14:paraId="249AA5D5" w14:textId="77777777" w:rsidR="00E22CAA" w:rsidRPr="00A23543" w:rsidRDefault="00E22CAA" w:rsidP="003D1D81">
            <w:pPr>
              <w:pStyle w:val="NoSpacing"/>
              <w:jc w:val="center"/>
              <w:rPr>
                <w:rFonts w:ascii="Cambria" w:hAnsi="Cambria"/>
                <w:iCs/>
                <w:color w:val="000000" w:themeColor="text1"/>
                <w:sz w:val="23"/>
                <w:szCs w:val="23"/>
              </w:rPr>
            </w:pPr>
            <w:r w:rsidRPr="00A23543">
              <w:rPr>
                <w:rFonts w:ascii="Cambria" w:hAnsi="Cambria"/>
                <w:b/>
                <w:bCs/>
                <w:iCs/>
                <w:color w:val="000000" w:themeColor="text1"/>
                <w:sz w:val="23"/>
                <w:szCs w:val="23"/>
              </w:rPr>
              <w:t>Supreme Court</w:t>
            </w:r>
          </w:p>
        </w:tc>
      </w:tr>
      <w:tr w:rsidR="00E22CAA" w:rsidRPr="00A23543" w14:paraId="327EA16D" w14:textId="77777777" w:rsidTr="003D1D81">
        <w:trPr>
          <w:jc w:val="center"/>
        </w:trPr>
        <w:tc>
          <w:tcPr>
            <w:tcW w:w="1271" w:type="dxa"/>
            <w:vMerge/>
          </w:tcPr>
          <w:p w14:paraId="21804ECA" w14:textId="77777777" w:rsidR="00E22CAA" w:rsidRPr="00A23543" w:rsidRDefault="00E22CAA" w:rsidP="003D1D81">
            <w:pPr>
              <w:pStyle w:val="NoSpacing"/>
              <w:jc w:val="both"/>
              <w:rPr>
                <w:rFonts w:ascii="Cambria" w:hAnsi="Cambria"/>
                <w:iCs/>
                <w:color w:val="000000" w:themeColor="text1"/>
                <w:sz w:val="23"/>
                <w:szCs w:val="23"/>
              </w:rPr>
            </w:pPr>
          </w:p>
        </w:tc>
        <w:tc>
          <w:tcPr>
            <w:tcW w:w="1299" w:type="dxa"/>
          </w:tcPr>
          <w:p w14:paraId="525B5779"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Tasmania</w:t>
            </w:r>
          </w:p>
        </w:tc>
        <w:tc>
          <w:tcPr>
            <w:tcW w:w="1299" w:type="dxa"/>
          </w:tcPr>
          <w:p w14:paraId="1537B0B9"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Australian average</w:t>
            </w:r>
          </w:p>
        </w:tc>
        <w:tc>
          <w:tcPr>
            <w:tcW w:w="1300" w:type="dxa"/>
          </w:tcPr>
          <w:p w14:paraId="1483750A"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Difference</w:t>
            </w:r>
          </w:p>
          <w:p w14:paraId="122DAD38"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299" w:type="dxa"/>
          </w:tcPr>
          <w:p w14:paraId="7D5AF3BD"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Tasmania</w:t>
            </w:r>
          </w:p>
        </w:tc>
        <w:tc>
          <w:tcPr>
            <w:tcW w:w="1299" w:type="dxa"/>
          </w:tcPr>
          <w:p w14:paraId="254594EB"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Australian average</w:t>
            </w:r>
          </w:p>
        </w:tc>
        <w:tc>
          <w:tcPr>
            <w:tcW w:w="1300" w:type="dxa"/>
          </w:tcPr>
          <w:p w14:paraId="796ECD90"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Difference</w:t>
            </w:r>
          </w:p>
          <w:p w14:paraId="2AD1177B"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r>
      <w:tr w:rsidR="00E22CAA" w:rsidRPr="00A23543" w14:paraId="7661D98F" w14:textId="77777777" w:rsidTr="003D1D81">
        <w:trPr>
          <w:jc w:val="center"/>
        </w:trPr>
        <w:tc>
          <w:tcPr>
            <w:tcW w:w="1271" w:type="dxa"/>
          </w:tcPr>
          <w:p w14:paraId="3F03A0F9"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2015-16</w:t>
            </w:r>
          </w:p>
        </w:tc>
        <w:tc>
          <w:tcPr>
            <w:tcW w:w="1299" w:type="dxa"/>
          </w:tcPr>
          <w:p w14:paraId="09434A26"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299" w:type="dxa"/>
          </w:tcPr>
          <w:p w14:paraId="75805789"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300" w:type="dxa"/>
          </w:tcPr>
          <w:p w14:paraId="57AB2AC3"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299" w:type="dxa"/>
          </w:tcPr>
          <w:p w14:paraId="5C946EC1"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5.3</w:t>
            </w:r>
          </w:p>
        </w:tc>
        <w:tc>
          <w:tcPr>
            <w:tcW w:w="1299" w:type="dxa"/>
          </w:tcPr>
          <w:p w14:paraId="4569BBE1"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6.5</w:t>
            </w:r>
          </w:p>
        </w:tc>
        <w:tc>
          <w:tcPr>
            <w:tcW w:w="1300" w:type="dxa"/>
          </w:tcPr>
          <w:p w14:paraId="04597172"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-18.47</w:t>
            </w:r>
          </w:p>
        </w:tc>
      </w:tr>
      <w:tr w:rsidR="00E22CAA" w:rsidRPr="00A23543" w14:paraId="0B2E44F0" w14:textId="77777777" w:rsidTr="003D1D81">
        <w:trPr>
          <w:jc w:val="center"/>
        </w:trPr>
        <w:tc>
          <w:tcPr>
            <w:tcW w:w="1271" w:type="dxa"/>
          </w:tcPr>
          <w:p w14:paraId="22E4372A"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2016-17</w:t>
            </w:r>
          </w:p>
        </w:tc>
        <w:tc>
          <w:tcPr>
            <w:tcW w:w="1299" w:type="dxa"/>
          </w:tcPr>
          <w:p w14:paraId="2825159C"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299" w:type="dxa"/>
          </w:tcPr>
          <w:p w14:paraId="31BAC2DC"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300" w:type="dxa"/>
          </w:tcPr>
          <w:p w14:paraId="64D24CCF"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B050"/>
                <w:sz w:val="23"/>
                <w:szCs w:val="23"/>
              </w:rPr>
              <w:t>+20.00</w:t>
            </w:r>
          </w:p>
        </w:tc>
        <w:tc>
          <w:tcPr>
            <w:tcW w:w="1299" w:type="dxa"/>
          </w:tcPr>
          <w:p w14:paraId="72D987B3"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5.5</w:t>
            </w:r>
          </w:p>
        </w:tc>
        <w:tc>
          <w:tcPr>
            <w:tcW w:w="1299" w:type="dxa"/>
          </w:tcPr>
          <w:p w14:paraId="1E37CA73"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7.0</w:t>
            </w:r>
          </w:p>
        </w:tc>
        <w:tc>
          <w:tcPr>
            <w:tcW w:w="1300" w:type="dxa"/>
          </w:tcPr>
          <w:p w14:paraId="5D5E7152"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EE0000"/>
                <w:sz w:val="23"/>
                <w:szCs w:val="23"/>
              </w:rPr>
              <w:t>-21.43</w:t>
            </w:r>
          </w:p>
        </w:tc>
      </w:tr>
      <w:tr w:rsidR="00E22CAA" w:rsidRPr="00A23543" w14:paraId="206F74E4" w14:textId="77777777" w:rsidTr="003D1D81">
        <w:trPr>
          <w:jc w:val="center"/>
        </w:trPr>
        <w:tc>
          <w:tcPr>
            <w:tcW w:w="1271" w:type="dxa"/>
          </w:tcPr>
          <w:p w14:paraId="09175F1E"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2017-18</w:t>
            </w:r>
          </w:p>
        </w:tc>
        <w:tc>
          <w:tcPr>
            <w:tcW w:w="1299" w:type="dxa"/>
          </w:tcPr>
          <w:p w14:paraId="60A8B0A7"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299" w:type="dxa"/>
          </w:tcPr>
          <w:p w14:paraId="428DDDB2"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300" w:type="dxa"/>
          </w:tcPr>
          <w:p w14:paraId="577EC623"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299" w:type="dxa"/>
          </w:tcPr>
          <w:p w14:paraId="358409B4"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6.4</w:t>
            </w:r>
          </w:p>
        </w:tc>
        <w:tc>
          <w:tcPr>
            <w:tcW w:w="1299" w:type="dxa"/>
          </w:tcPr>
          <w:p w14:paraId="257501D4"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7.2</w:t>
            </w:r>
          </w:p>
        </w:tc>
        <w:tc>
          <w:tcPr>
            <w:tcW w:w="1300" w:type="dxa"/>
          </w:tcPr>
          <w:p w14:paraId="14D3E7C7"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-11.12</w:t>
            </w:r>
          </w:p>
        </w:tc>
      </w:tr>
      <w:tr w:rsidR="00E22CAA" w:rsidRPr="00A23543" w14:paraId="26B94734" w14:textId="77777777" w:rsidTr="003D1D81">
        <w:trPr>
          <w:jc w:val="center"/>
        </w:trPr>
        <w:tc>
          <w:tcPr>
            <w:tcW w:w="1271" w:type="dxa"/>
          </w:tcPr>
          <w:p w14:paraId="6EE4201F"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2018-19</w:t>
            </w:r>
          </w:p>
        </w:tc>
        <w:tc>
          <w:tcPr>
            <w:tcW w:w="1299" w:type="dxa"/>
          </w:tcPr>
          <w:p w14:paraId="40B14889"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299" w:type="dxa"/>
          </w:tcPr>
          <w:p w14:paraId="6C389299"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0.4</w:t>
            </w:r>
          </w:p>
        </w:tc>
        <w:tc>
          <w:tcPr>
            <w:tcW w:w="1300" w:type="dxa"/>
          </w:tcPr>
          <w:p w14:paraId="515CE7D3"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B050"/>
                <w:sz w:val="23"/>
                <w:szCs w:val="23"/>
              </w:rPr>
              <w:t>+20.00</w:t>
            </w:r>
          </w:p>
        </w:tc>
        <w:tc>
          <w:tcPr>
            <w:tcW w:w="1299" w:type="dxa"/>
          </w:tcPr>
          <w:p w14:paraId="7436673C"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6.6</w:t>
            </w:r>
          </w:p>
        </w:tc>
        <w:tc>
          <w:tcPr>
            <w:tcW w:w="1299" w:type="dxa"/>
          </w:tcPr>
          <w:p w14:paraId="662363FA"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7.2</w:t>
            </w:r>
          </w:p>
        </w:tc>
        <w:tc>
          <w:tcPr>
            <w:tcW w:w="1300" w:type="dxa"/>
          </w:tcPr>
          <w:p w14:paraId="76BF5F55"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EE0000"/>
                <w:sz w:val="23"/>
                <w:szCs w:val="23"/>
              </w:rPr>
              <w:t>-8.34</w:t>
            </w:r>
          </w:p>
        </w:tc>
      </w:tr>
      <w:tr w:rsidR="00E22CAA" w:rsidRPr="00A23543" w14:paraId="7364276D" w14:textId="77777777" w:rsidTr="003D1D81">
        <w:trPr>
          <w:jc w:val="center"/>
        </w:trPr>
        <w:tc>
          <w:tcPr>
            <w:tcW w:w="1271" w:type="dxa"/>
          </w:tcPr>
          <w:p w14:paraId="2CED4B04"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2019-20</w:t>
            </w:r>
          </w:p>
        </w:tc>
        <w:tc>
          <w:tcPr>
            <w:tcW w:w="1299" w:type="dxa"/>
          </w:tcPr>
          <w:p w14:paraId="2663A9FA"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299" w:type="dxa"/>
          </w:tcPr>
          <w:p w14:paraId="587CA746"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0" w:type="dxa"/>
          </w:tcPr>
          <w:p w14:paraId="4129FEE6"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t>
            </w:r>
          </w:p>
        </w:tc>
        <w:tc>
          <w:tcPr>
            <w:tcW w:w="1299" w:type="dxa"/>
          </w:tcPr>
          <w:p w14:paraId="03248890"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5.5</w:t>
            </w:r>
          </w:p>
        </w:tc>
        <w:tc>
          <w:tcPr>
            <w:tcW w:w="1299" w:type="dxa"/>
          </w:tcPr>
          <w:p w14:paraId="2B97A8F9"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7.4</w:t>
            </w:r>
          </w:p>
        </w:tc>
        <w:tc>
          <w:tcPr>
            <w:tcW w:w="1300" w:type="dxa"/>
          </w:tcPr>
          <w:p w14:paraId="743A15D3"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-25.68</w:t>
            </w:r>
          </w:p>
        </w:tc>
      </w:tr>
      <w:tr w:rsidR="00E22CAA" w:rsidRPr="00A23543" w14:paraId="0DF28025" w14:textId="77777777" w:rsidTr="003D1D81">
        <w:trPr>
          <w:jc w:val="center"/>
        </w:trPr>
        <w:tc>
          <w:tcPr>
            <w:tcW w:w="1271" w:type="dxa"/>
          </w:tcPr>
          <w:p w14:paraId="64497077"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2020-21</w:t>
            </w:r>
          </w:p>
        </w:tc>
        <w:tc>
          <w:tcPr>
            <w:tcW w:w="1299" w:type="dxa"/>
          </w:tcPr>
          <w:p w14:paraId="706C6669"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299" w:type="dxa"/>
          </w:tcPr>
          <w:p w14:paraId="09A1BA8A"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0" w:type="dxa"/>
          </w:tcPr>
          <w:p w14:paraId="1C7E054B"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w:t>
            </w:r>
          </w:p>
        </w:tc>
        <w:tc>
          <w:tcPr>
            <w:tcW w:w="1299" w:type="dxa"/>
          </w:tcPr>
          <w:p w14:paraId="299DDAD3"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6.5</w:t>
            </w:r>
          </w:p>
        </w:tc>
        <w:tc>
          <w:tcPr>
            <w:tcW w:w="1299" w:type="dxa"/>
          </w:tcPr>
          <w:p w14:paraId="27E09C8E"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8.8</w:t>
            </w:r>
          </w:p>
        </w:tc>
        <w:tc>
          <w:tcPr>
            <w:tcW w:w="1300" w:type="dxa"/>
          </w:tcPr>
          <w:p w14:paraId="6EE2CD7F"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-26.14</w:t>
            </w:r>
          </w:p>
        </w:tc>
      </w:tr>
      <w:tr w:rsidR="00E22CAA" w:rsidRPr="00A23543" w14:paraId="162FD44D" w14:textId="77777777" w:rsidTr="003D1D81">
        <w:trPr>
          <w:jc w:val="center"/>
        </w:trPr>
        <w:tc>
          <w:tcPr>
            <w:tcW w:w="1271" w:type="dxa"/>
          </w:tcPr>
          <w:p w14:paraId="2B2ABA6C"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2021-22</w:t>
            </w:r>
          </w:p>
        </w:tc>
        <w:tc>
          <w:tcPr>
            <w:tcW w:w="1299" w:type="dxa"/>
          </w:tcPr>
          <w:p w14:paraId="213E96CE"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299" w:type="dxa"/>
          </w:tcPr>
          <w:p w14:paraId="792C20F1"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300" w:type="dxa"/>
          </w:tcPr>
          <w:p w14:paraId="2CF8C207" w14:textId="77777777" w:rsidR="00E22CAA" w:rsidRPr="00A23543" w:rsidRDefault="00E22CAA" w:rsidP="003D1D81">
            <w:pPr>
              <w:pStyle w:val="NoSpacing"/>
              <w:jc w:val="both"/>
              <w:rPr>
                <w:rFonts w:ascii="Cambria" w:hAnsi="Cambria"/>
                <w:iCs/>
                <w:color w:val="EE0000"/>
                <w:sz w:val="23"/>
                <w:szCs w:val="23"/>
              </w:rPr>
            </w:pPr>
            <w:r w:rsidRPr="00A23543">
              <w:rPr>
                <w:rFonts w:ascii="Cambria" w:hAnsi="Cambria"/>
                <w:iCs/>
                <w:color w:val="000000" w:themeColor="text1"/>
                <w:sz w:val="23"/>
                <w:szCs w:val="23"/>
              </w:rPr>
              <w:t>-</w:t>
            </w:r>
          </w:p>
        </w:tc>
        <w:tc>
          <w:tcPr>
            <w:tcW w:w="1299" w:type="dxa"/>
          </w:tcPr>
          <w:p w14:paraId="5E383F69"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6.9</w:t>
            </w:r>
          </w:p>
        </w:tc>
        <w:tc>
          <w:tcPr>
            <w:tcW w:w="1299" w:type="dxa"/>
          </w:tcPr>
          <w:p w14:paraId="2EE59A2E"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8.8</w:t>
            </w:r>
          </w:p>
        </w:tc>
        <w:tc>
          <w:tcPr>
            <w:tcW w:w="1300" w:type="dxa"/>
          </w:tcPr>
          <w:p w14:paraId="395893EE"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EE0000"/>
                <w:sz w:val="23"/>
                <w:szCs w:val="23"/>
              </w:rPr>
              <w:t>-21.60</w:t>
            </w:r>
          </w:p>
        </w:tc>
      </w:tr>
      <w:tr w:rsidR="00E22CAA" w:rsidRPr="00A23543" w14:paraId="40B4FB49" w14:textId="77777777" w:rsidTr="003D1D81">
        <w:trPr>
          <w:jc w:val="center"/>
        </w:trPr>
        <w:tc>
          <w:tcPr>
            <w:tcW w:w="1271" w:type="dxa"/>
          </w:tcPr>
          <w:p w14:paraId="43F04259"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2022-23</w:t>
            </w:r>
          </w:p>
        </w:tc>
        <w:tc>
          <w:tcPr>
            <w:tcW w:w="1299" w:type="dxa"/>
          </w:tcPr>
          <w:p w14:paraId="732E28E5"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0.7</w:t>
            </w:r>
          </w:p>
        </w:tc>
        <w:tc>
          <w:tcPr>
            <w:tcW w:w="1299" w:type="dxa"/>
          </w:tcPr>
          <w:p w14:paraId="4CE3CDDB"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0" w:type="dxa"/>
          </w:tcPr>
          <w:p w14:paraId="5A5D1D5A"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B050"/>
                <w:sz w:val="23"/>
                <w:szCs w:val="23"/>
              </w:rPr>
              <w:t>+28.58</w:t>
            </w:r>
          </w:p>
        </w:tc>
        <w:tc>
          <w:tcPr>
            <w:tcW w:w="1299" w:type="dxa"/>
          </w:tcPr>
          <w:p w14:paraId="413BFAE2"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7.1</w:t>
            </w:r>
          </w:p>
        </w:tc>
        <w:tc>
          <w:tcPr>
            <w:tcW w:w="1299" w:type="dxa"/>
          </w:tcPr>
          <w:p w14:paraId="35148D3D"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8.8</w:t>
            </w:r>
          </w:p>
        </w:tc>
        <w:tc>
          <w:tcPr>
            <w:tcW w:w="1300" w:type="dxa"/>
          </w:tcPr>
          <w:p w14:paraId="707B2E88"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EE0000"/>
                <w:sz w:val="23"/>
                <w:szCs w:val="23"/>
              </w:rPr>
              <w:t>-19.32</w:t>
            </w:r>
          </w:p>
        </w:tc>
      </w:tr>
      <w:tr w:rsidR="00E22CAA" w:rsidRPr="00A23543" w14:paraId="454104C5" w14:textId="77777777" w:rsidTr="003D1D81">
        <w:trPr>
          <w:jc w:val="center"/>
        </w:trPr>
        <w:tc>
          <w:tcPr>
            <w:tcW w:w="1271" w:type="dxa"/>
          </w:tcPr>
          <w:p w14:paraId="7A18FE4D"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2023-24</w:t>
            </w:r>
          </w:p>
        </w:tc>
        <w:tc>
          <w:tcPr>
            <w:tcW w:w="1299" w:type="dxa"/>
          </w:tcPr>
          <w:p w14:paraId="2BE0C78F"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299" w:type="dxa"/>
          </w:tcPr>
          <w:p w14:paraId="69548EE4"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0" w:type="dxa"/>
          </w:tcPr>
          <w:p w14:paraId="6BFAA7C7"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B050"/>
                <w:sz w:val="23"/>
                <w:szCs w:val="23"/>
              </w:rPr>
              <w:t>+16.67</w:t>
            </w:r>
          </w:p>
        </w:tc>
        <w:tc>
          <w:tcPr>
            <w:tcW w:w="1299" w:type="dxa"/>
          </w:tcPr>
          <w:p w14:paraId="0A036D2A"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6.7</w:t>
            </w:r>
          </w:p>
        </w:tc>
        <w:tc>
          <w:tcPr>
            <w:tcW w:w="1299" w:type="dxa"/>
          </w:tcPr>
          <w:p w14:paraId="407F9F14"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8.7</w:t>
            </w:r>
          </w:p>
        </w:tc>
        <w:tc>
          <w:tcPr>
            <w:tcW w:w="1300" w:type="dxa"/>
          </w:tcPr>
          <w:p w14:paraId="7B068C4B"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EE0000"/>
                <w:sz w:val="23"/>
                <w:szCs w:val="23"/>
              </w:rPr>
              <w:t>-22.99</w:t>
            </w:r>
          </w:p>
        </w:tc>
      </w:tr>
      <w:tr w:rsidR="00E22CAA" w:rsidRPr="00A23543" w14:paraId="3657BA79" w14:textId="77777777" w:rsidTr="003D1D81">
        <w:trPr>
          <w:jc w:val="center"/>
        </w:trPr>
        <w:tc>
          <w:tcPr>
            <w:tcW w:w="1271" w:type="dxa"/>
          </w:tcPr>
          <w:p w14:paraId="6A60C637" w14:textId="77777777" w:rsidR="00E22CAA" w:rsidRPr="00A23543" w:rsidRDefault="00E22CAA" w:rsidP="003D1D81">
            <w:pPr>
              <w:pStyle w:val="NoSpacing"/>
              <w:rPr>
                <w:rFonts w:ascii="Cambria" w:hAnsi="Cambria"/>
                <w:b/>
                <w:bCs/>
                <w:iCs/>
                <w:color w:val="000000" w:themeColor="text1"/>
                <w:sz w:val="23"/>
                <w:szCs w:val="23"/>
              </w:rPr>
            </w:pPr>
            <w:r w:rsidRPr="00A23543">
              <w:rPr>
                <w:rFonts w:ascii="Cambria" w:hAnsi="Cambria"/>
                <w:b/>
                <w:bCs/>
                <w:iCs/>
                <w:color w:val="000000" w:themeColor="text1"/>
                <w:sz w:val="23"/>
                <w:szCs w:val="23"/>
              </w:rPr>
              <w:t>2024-25</w:t>
            </w:r>
          </w:p>
        </w:tc>
        <w:tc>
          <w:tcPr>
            <w:tcW w:w="1299" w:type="dxa"/>
          </w:tcPr>
          <w:p w14:paraId="1DA12538"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0.6</w:t>
            </w:r>
          </w:p>
        </w:tc>
        <w:tc>
          <w:tcPr>
            <w:tcW w:w="1299" w:type="dxa"/>
          </w:tcPr>
          <w:p w14:paraId="4A1D84C6" w14:textId="77777777" w:rsidR="00E22CAA" w:rsidRPr="00A23543" w:rsidRDefault="00E22CAA" w:rsidP="003D1D81">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0.5</w:t>
            </w:r>
          </w:p>
        </w:tc>
        <w:tc>
          <w:tcPr>
            <w:tcW w:w="1300" w:type="dxa"/>
          </w:tcPr>
          <w:p w14:paraId="697B78F1"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B050"/>
                <w:sz w:val="23"/>
                <w:szCs w:val="23"/>
              </w:rPr>
              <w:t>+16.67</w:t>
            </w:r>
          </w:p>
        </w:tc>
        <w:tc>
          <w:tcPr>
            <w:tcW w:w="1299" w:type="dxa"/>
          </w:tcPr>
          <w:p w14:paraId="40DBADA9"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5.8</w:t>
            </w:r>
          </w:p>
        </w:tc>
        <w:tc>
          <w:tcPr>
            <w:tcW w:w="1299" w:type="dxa"/>
          </w:tcPr>
          <w:p w14:paraId="46A20CC1"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000000" w:themeColor="text1"/>
                <w:sz w:val="23"/>
                <w:szCs w:val="23"/>
              </w:rPr>
              <w:t>8.0</w:t>
            </w:r>
          </w:p>
        </w:tc>
        <w:tc>
          <w:tcPr>
            <w:tcW w:w="1300" w:type="dxa"/>
          </w:tcPr>
          <w:p w14:paraId="51D01237" w14:textId="77777777" w:rsidR="00E22CAA" w:rsidRPr="00A23543" w:rsidRDefault="00E22CAA" w:rsidP="003D1D81">
            <w:pPr>
              <w:pStyle w:val="NoSpacing"/>
              <w:jc w:val="both"/>
              <w:rPr>
                <w:rFonts w:ascii="Cambria" w:hAnsi="Cambria"/>
                <w:iCs/>
                <w:color w:val="00B050"/>
                <w:sz w:val="23"/>
                <w:szCs w:val="23"/>
              </w:rPr>
            </w:pPr>
            <w:r w:rsidRPr="00A23543">
              <w:rPr>
                <w:rFonts w:ascii="Cambria" w:hAnsi="Cambria"/>
                <w:iCs/>
                <w:color w:val="EE0000"/>
                <w:sz w:val="23"/>
                <w:szCs w:val="23"/>
              </w:rPr>
              <w:t>-27.50</w:t>
            </w:r>
          </w:p>
        </w:tc>
      </w:tr>
    </w:tbl>
    <w:p w14:paraId="5E997C69" w14:textId="77777777" w:rsidR="00E22CAA" w:rsidRPr="00020EA6" w:rsidRDefault="00E22CAA" w:rsidP="00E22CAA">
      <w:pPr>
        <w:pStyle w:val="NoSpacing"/>
        <w:ind w:right="1082"/>
        <w:jc w:val="both"/>
        <w:rPr>
          <w:rFonts w:ascii="Cambria" w:hAnsi="Cambria"/>
          <w:iCs/>
          <w:color w:val="000000" w:themeColor="text1"/>
          <w:sz w:val="20"/>
          <w:szCs w:val="20"/>
        </w:rPr>
      </w:pPr>
      <w:r w:rsidRPr="00020EA6">
        <w:rPr>
          <w:rFonts w:ascii="Cambria" w:hAnsi="Cambria"/>
          <w:iCs/>
          <w:color w:val="000000" w:themeColor="text1"/>
          <w:sz w:val="20"/>
          <w:szCs w:val="20"/>
        </w:rPr>
        <w:t>Source: Productivity Commission, Report on Government Services 2026, Courts, Table 7A.2</w:t>
      </w:r>
      <w:r>
        <w:rPr>
          <w:rFonts w:ascii="Cambria" w:hAnsi="Cambria"/>
          <w:iCs/>
          <w:color w:val="000000" w:themeColor="text1"/>
          <w:sz w:val="20"/>
          <w:szCs w:val="20"/>
        </w:rPr>
        <w:t>9</w:t>
      </w:r>
    </w:p>
    <w:p w14:paraId="6742B57B" w14:textId="77777777" w:rsidR="00EB00C2" w:rsidRDefault="00EB00C2" w:rsidP="00D90352">
      <w:pPr>
        <w:pStyle w:val="NoSpacing"/>
        <w:jc w:val="both"/>
        <w:rPr>
          <w:rFonts w:ascii="Cambria" w:hAnsi="Cambria"/>
          <w:iCs/>
          <w:color w:val="EE0000"/>
          <w:sz w:val="24"/>
          <w:szCs w:val="24"/>
        </w:rPr>
      </w:pPr>
    </w:p>
    <w:p w14:paraId="22AB6070" w14:textId="59582517" w:rsidR="00120DDD" w:rsidRPr="00A23543" w:rsidRDefault="00120DDD" w:rsidP="00120DDD">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 xml:space="preserve">Relevantly, the </w:t>
      </w:r>
      <w:r w:rsidR="00566C35" w:rsidRPr="00A23543">
        <w:rPr>
          <w:rFonts w:ascii="Cambria" w:hAnsi="Cambria"/>
          <w:iCs/>
          <w:color w:val="000000" w:themeColor="text1"/>
          <w:sz w:val="23"/>
          <w:szCs w:val="23"/>
        </w:rPr>
        <w:t xml:space="preserve">discrepancy </w:t>
      </w:r>
      <w:r w:rsidRPr="00A23543">
        <w:rPr>
          <w:rFonts w:ascii="Cambria" w:hAnsi="Cambria"/>
          <w:iCs/>
          <w:color w:val="000000" w:themeColor="text1"/>
          <w:sz w:val="23"/>
          <w:szCs w:val="23"/>
        </w:rPr>
        <w:t>that exists in Tasmania’s Supreme Court</w:t>
      </w:r>
      <w:r w:rsidR="00566C35" w:rsidRPr="00A23543">
        <w:rPr>
          <w:rFonts w:ascii="Cambria" w:hAnsi="Cambria"/>
          <w:iCs/>
          <w:color w:val="000000" w:themeColor="text1"/>
          <w:sz w:val="23"/>
          <w:szCs w:val="23"/>
        </w:rPr>
        <w:t xml:space="preserve"> </w:t>
      </w:r>
      <w:r w:rsidRPr="00A23543">
        <w:rPr>
          <w:rFonts w:ascii="Cambria" w:hAnsi="Cambria"/>
          <w:iCs/>
          <w:color w:val="000000" w:themeColor="text1"/>
          <w:sz w:val="23"/>
          <w:szCs w:val="23"/>
        </w:rPr>
        <w:t xml:space="preserve">when compared against the Australia-wide data is even more significant when it is acknowledged that </w:t>
      </w:r>
      <w:r w:rsidR="00566C35" w:rsidRPr="00A23543">
        <w:rPr>
          <w:rFonts w:ascii="Cambria" w:hAnsi="Cambria"/>
          <w:iCs/>
          <w:color w:val="000000" w:themeColor="text1"/>
          <w:sz w:val="23"/>
          <w:szCs w:val="23"/>
        </w:rPr>
        <w:t>the majority of Australian jurisdictions (</w:t>
      </w:r>
      <w:r w:rsidRPr="00A23543">
        <w:rPr>
          <w:rFonts w:ascii="Cambria" w:hAnsi="Cambria"/>
          <w:iCs/>
          <w:color w:val="000000" w:themeColor="text1"/>
          <w:sz w:val="23"/>
          <w:szCs w:val="23"/>
        </w:rPr>
        <w:t>Victoria, New South Wales, Queensland, South Australia and Western Australia</w:t>
      </w:r>
      <w:r w:rsidR="00566C35" w:rsidRPr="00A23543">
        <w:rPr>
          <w:rFonts w:ascii="Cambria" w:hAnsi="Cambria"/>
          <w:iCs/>
          <w:color w:val="000000" w:themeColor="text1"/>
          <w:sz w:val="23"/>
          <w:szCs w:val="23"/>
        </w:rPr>
        <w:t>)</w:t>
      </w:r>
      <w:r w:rsidRPr="00A23543">
        <w:rPr>
          <w:rFonts w:ascii="Cambria" w:hAnsi="Cambria"/>
          <w:iCs/>
          <w:color w:val="000000" w:themeColor="text1"/>
          <w:sz w:val="23"/>
          <w:szCs w:val="23"/>
        </w:rPr>
        <w:t xml:space="preserve"> all have district/county courts that hear criminal matters</w:t>
      </w:r>
      <w:r w:rsidR="00740CD7" w:rsidRPr="00A23543">
        <w:rPr>
          <w:rFonts w:ascii="Cambria" w:hAnsi="Cambria"/>
          <w:iCs/>
          <w:color w:val="000000" w:themeColor="text1"/>
          <w:sz w:val="23"/>
          <w:szCs w:val="23"/>
        </w:rPr>
        <w:t xml:space="preserve">, thereby reducing the workloads of Supreme Court judicial officers, </w:t>
      </w:r>
      <w:r w:rsidRPr="00A23543">
        <w:rPr>
          <w:rFonts w:ascii="Cambria" w:hAnsi="Cambria"/>
          <w:iCs/>
          <w:color w:val="000000" w:themeColor="text1"/>
          <w:sz w:val="23"/>
          <w:szCs w:val="23"/>
        </w:rPr>
        <w:t xml:space="preserve">whereas in Tasmania </w:t>
      </w:r>
      <w:r w:rsidR="00740CD7" w:rsidRPr="00A23543">
        <w:rPr>
          <w:rFonts w:ascii="Cambria" w:hAnsi="Cambria"/>
          <w:iCs/>
          <w:color w:val="000000" w:themeColor="text1"/>
          <w:sz w:val="23"/>
          <w:szCs w:val="23"/>
        </w:rPr>
        <w:t xml:space="preserve">all serious indictable </w:t>
      </w:r>
      <w:r w:rsidRPr="00A23543">
        <w:rPr>
          <w:rFonts w:ascii="Cambria" w:hAnsi="Cambria"/>
          <w:iCs/>
          <w:color w:val="000000" w:themeColor="text1"/>
          <w:sz w:val="23"/>
          <w:szCs w:val="23"/>
        </w:rPr>
        <w:t xml:space="preserve">matters are heard by the Supreme Court. </w:t>
      </w:r>
    </w:p>
    <w:p w14:paraId="21E67F39" w14:textId="77777777" w:rsidR="00120DDD" w:rsidRPr="00A23543" w:rsidRDefault="00120DDD" w:rsidP="00D90352">
      <w:pPr>
        <w:pStyle w:val="NoSpacing"/>
        <w:jc w:val="both"/>
        <w:rPr>
          <w:rFonts w:ascii="Cambria" w:hAnsi="Cambria"/>
          <w:iCs/>
          <w:color w:val="000000" w:themeColor="text1"/>
          <w:sz w:val="23"/>
          <w:szCs w:val="23"/>
        </w:rPr>
      </w:pPr>
    </w:p>
    <w:p w14:paraId="0633712F" w14:textId="526A6A48" w:rsidR="00A23543" w:rsidRDefault="00566C35" w:rsidP="00D90352">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We strongly believe that t</w:t>
      </w:r>
      <w:r w:rsidR="00B75178" w:rsidRPr="00A23543">
        <w:rPr>
          <w:rFonts w:ascii="Cambria" w:hAnsi="Cambria"/>
          <w:iCs/>
          <w:color w:val="000000" w:themeColor="text1"/>
          <w:sz w:val="23"/>
          <w:szCs w:val="23"/>
        </w:rPr>
        <w:t xml:space="preserve">he Productivity Commission’s </w:t>
      </w:r>
      <w:r w:rsidR="00B75178" w:rsidRPr="00A23543">
        <w:rPr>
          <w:rFonts w:ascii="Cambria" w:hAnsi="Cambria"/>
          <w:i/>
          <w:color w:val="000000" w:themeColor="text1"/>
          <w:sz w:val="23"/>
          <w:szCs w:val="23"/>
        </w:rPr>
        <w:t>Report on Government Services</w:t>
      </w:r>
      <w:r w:rsidR="00B75178" w:rsidRPr="00A23543">
        <w:rPr>
          <w:rFonts w:ascii="Cambria" w:hAnsi="Cambria"/>
          <w:iCs/>
          <w:color w:val="000000" w:themeColor="text1"/>
          <w:sz w:val="23"/>
          <w:szCs w:val="23"/>
        </w:rPr>
        <w:t xml:space="preserve"> highlights the need for increased judicial officers</w:t>
      </w:r>
      <w:r w:rsidRPr="00A23543">
        <w:rPr>
          <w:rFonts w:ascii="Cambria" w:hAnsi="Cambria"/>
          <w:iCs/>
          <w:color w:val="000000" w:themeColor="text1"/>
          <w:sz w:val="23"/>
          <w:szCs w:val="23"/>
        </w:rPr>
        <w:t xml:space="preserve"> in Tasmania’s Supreme Court</w:t>
      </w:r>
      <w:r w:rsidR="00B75178" w:rsidRPr="00A23543">
        <w:rPr>
          <w:rFonts w:ascii="Cambria" w:hAnsi="Cambria"/>
          <w:iCs/>
          <w:color w:val="000000" w:themeColor="text1"/>
          <w:sz w:val="23"/>
          <w:szCs w:val="23"/>
        </w:rPr>
        <w:t>.</w:t>
      </w:r>
      <w:r w:rsidRPr="00A23543">
        <w:rPr>
          <w:rFonts w:ascii="Cambria" w:hAnsi="Cambria"/>
          <w:iCs/>
          <w:color w:val="000000" w:themeColor="text1"/>
          <w:sz w:val="23"/>
          <w:szCs w:val="23"/>
        </w:rPr>
        <w:t xml:space="preserve"> </w:t>
      </w:r>
      <w:r w:rsidR="00B75178" w:rsidRPr="00A23543">
        <w:rPr>
          <w:rFonts w:ascii="Cambria" w:hAnsi="Cambria"/>
          <w:iCs/>
          <w:color w:val="000000" w:themeColor="text1"/>
          <w:sz w:val="23"/>
          <w:szCs w:val="23"/>
        </w:rPr>
        <w:t xml:space="preserve">To ensure </w:t>
      </w:r>
      <w:r w:rsidRPr="00A23543">
        <w:rPr>
          <w:rFonts w:ascii="Cambria" w:hAnsi="Cambria"/>
          <w:iCs/>
          <w:color w:val="000000" w:themeColor="text1"/>
          <w:sz w:val="23"/>
          <w:szCs w:val="23"/>
        </w:rPr>
        <w:t xml:space="preserve">appropriate </w:t>
      </w:r>
      <w:r w:rsidR="00B75178" w:rsidRPr="00A23543">
        <w:rPr>
          <w:rFonts w:ascii="Cambria" w:hAnsi="Cambria"/>
          <w:iCs/>
          <w:color w:val="000000" w:themeColor="text1"/>
          <w:sz w:val="23"/>
          <w:szCs w:val="23"/>
        </w:rPr>
        <w:t xml:space="preserve">independence and impartiality we do not support the appointment of acting judges or reserve judges. Instead, we strongly recommend an amendment to the </w:t>
      </w:r>
      <w:r w:rsidR="00B75178" w:rsidRPr="00A23543">
        <w:rPr>
          <w:rFonts w:ascii="Cambria" w:hAnsi="Cambria"/>
          <w:i/>
          <w:color w:val="000000" w:themeColor="text1"/>
          <w:sz w:val="23"/>
          <w:szCs w:val="23"/>
        </w:rPr>
        <w:t xml:space="preserve">Supreme </w:t>
      </w:r>
      <w:r w:rsidR="00B75178" w:rsidRPr="00A23543">
        <w:rPr>
          <w:rFonts w:ascii="Cambria" w:hAnsi="Cambria"/>
          <w:i/>
          <w:color w:val="000000" w:themeColor="text1"/>
          <w:sz w:val="23"/>
          <w:szCs w:val="23"/>
        </w:rPr>
        <w:lastRenderedPageBreak/>
        <w:t>Court Act 1887</w:t>
      </w:r>
      <w:r w:rsidR="00B75178" w:rsidRPr="00A23543">
        <w:rPr>
          <w:rFonts w:ascii="Cambria" w:hAnsi="Cambria"/>
          <w:iCs/>
          <w:color w:val="000000" w:themeColor="text1"/>
          <w:sz w:val="23"/>
          <w:szCs w:val="23"/>
        </w:rPr>
        <w:t xml:space="preserve"> (Tas) so that the number of judges can be increased from the current legislatively prescribed seven (a Chief Justice and six puisne judges).</w:t>
      </w:r>
      <w:r w:rsidR="00B75178" w:rsidRPr="00A23543">
        <w:rPr>
          <w:rStyle w:val="FootnoteReference"/>
          <w:rFonts w:ascii="Cambria" w:hAnsi="Cambria"/>
          <w:iCs/>
          <w:color w:val="000000" w:themeColor="text1"/>
          <w:sz w:val="23"/>
          <w:szCs w:val="23"/>
        </w:rPr>
        <w:footnoteReference w:id="7"/>
      </w:r>
      <w:r w:rsidR="00B75178" w:rsidRPr="00A23543">
        <w:rPr>
          <w:rFonts w:ascii="Cambria" w:hAnsi="Cambria"/>
          <w:iCs/>
          <w:color w:val="000000" w:themeColor="text1"/>
          <w:sz w:val="23"/>
          <w:szCs w:val="23"/>
        </w:rPr>
        <w:t xml:space="preserve"> </w:t>
      </w:r>
    </w:p>
    <w:p w14:paraId="5134D486" w14:textId="77777777" w:rsidR="00A23543" w:rsidRPr="00A23543" w:rsidRDefault="00A23543" w:rsidP="00D90352">
      <w:pPr>
        <w:pStyle w:val="NoSpacing"/>
        <w:jc w:val="both"/>
        <w:rPr>
          <w:rFonts w:ascii="Cambria" w:hAnsi="Cambria"/>
          <w:iCs/>
          <w:color w:val="000000" w:themeColor="text1"/>
          <w:sz w:val="23"/>
          <w:szCs w:val="23"/>
        </w:rPr>
      </w:pPr>
    </w:p>
    <w:p w14:paraId="30ABC690" w14:textId="07C3490F" w:rsidR="00B75178" w:rsidRPr="00A23543" w:rsidRDefault="00B75178" w:rsidP="00B75178">
      <w:pPr>
        <w:pStyle w:val="NoSpacing"/>
        <w:numPr>
          <w:ilvl w:val="0"/>
          <w:numId w:val="1"/>
        </w:numPr>
        <w:jc w:val="both"/>
        <w:rPr>
          <w:rFonts w:ascii="Cambria" w:hAnsi="Cambria"/>
          <w:b/>
          <w:bCs/>
          <w:i/>
          <w:color w:val="000000" w:themeColor="text1"/>
          <w:sz w:val="23"/>
          <w:szCs w:val="23"/>
        </w:rPr>
      </w:pPr>
      <w:r w:rsidRPr="00A23543">
        <w:rPr>
          <w:rFonts w:ascii="Cambria" w:hAnsi="Cambria"/>
          <w:b/>
          <w:bCs/>
          <w:i/>
          <w:color w:val="000000" w:themeColor="text1"/>
          <w:sz w:val="23"/>
          <w:szCs w:val="23"/>
        </w:rPr>
        <w:t>Moving civil matters from the Magistrates Court to TASCAT</w:t>
      </w:r>
    </w:p>
    <w:p w14:paraId="39698462" w14:textId="389831EF" w:rsidR="00B75178" w:rsidRPr="00A23543" w:rsidRDefault="00B75178" w:rsidP="00B75178">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Due to Tasmania’s small size,</w:t>
      </w:r>
      <w:r w:rsidR="00AF4C11" w:rsidRPr="00A23543">
        <w:rPr>
          <w:rFonts w:ascii="Cambria" w:hAnsi="Cambria"/>
          <w:iCs/>
          <w:color w:val="000000" w:themeColor="text1"/>
          <w:sz w:val="23"/>
          <w:szCs w:val="23"/>
        </w:rPr>
        <w:t xml:space="preserve"> </w:t>
      </w:r>
      <w:r w:rsidRPr="00A23543">
        <w:rPr>
          <w:rFonts w:ascii="Cambria" w:hAnsi="Cambria"/>
          <w:iCs/>
          <w:color w:val="000000" w:themeColor="text1"/>
          <w:sz w:val="23"/>
          <w:szCs w:val="23"/>
        </w:rPr>
        <w:t xml:space="preserve">judicial officers </w:t>
      </w:r>
      <w:r w:rsidR="00AF4C11" w:rsidRPr="00A23543">
        <w:rPr>
          <w:rFonts w:ascii="Cambria" w:hAnsi="Cambria"/>
          <w:iCs/>
          <w:color w:val="000000" w:themeColor="text1"/>
          <w:sz w:val="23"/>
          <w:szCs w:val="23"/>
        </w:rPr>
        <w:t>in Tasmania hear both</w:t>
      </w:r>
      <w:r w:rsidRPr="00A23543">
        <w:rPr>
          <w:rFonts w:ascii="Cambria" w:hAnsi="Cambria"/>
          <w:iCs/>
          <w:color w:val="000000" w:themeColor="text1"/>
          <w:sz w:val="23"/>
          <w:szCs w:val="23"/>
        </w:rPr>
        <w:t xml:space="preserve"> criminal </w:t>
      </w:r>
      <w:r w:rsidR="00AF4C11" w:rsidRPr="00A23543">
        <w:rPr>
          <w:rFonts w:ascii="Cambria" w:hAnsi="Cambria"/>
          <w:iCs/>
          <w:color w:val="000000" w:themeColor="text1"/>
          <w:sz w:val="23"/>
          <w:szCs w:val="23"/>
        </w:rPr>
        <w:t>and</w:t>
      </w:r>
      <w:r w:rsidRPr="00A23543">
        <w:rPr>
          <w:rFonts w:ascii="Cambria" w:hAnsi="Cambria"/>
          <w:iCs/>
          <w:color w:val="000000" w:themeColor="text1"/>
          <w:sz w:val="23"/>
          <w:szCs w:val="23"/>
        </w:rPr>
        <w:t xml:space="preserve"> civil </w:t>
      </w:r>
      <w:r w:rsidR="00AF4C11" w:rsidRPr="00A23543">
        <w:rPr>
          <w:rFonts w:ascii="Cambria" w:hAnsi="Cambria"/>
          <w:iCs/>
          <w:color w:val="000000" w:themeColor="text1"/>
          <w:sz w:val="23"/>
          <w:szCs w:val="23"/>
        </w:rPr>
        <w:t>cases</w:t>
      </w:r>
      <w:r w:rsidRPr="00A23543">
        <w:rPr>
          <w:rFonts w:ascii="Cambria" w:hAnsi="Cambria"/>
          <w:iCs/>
          <w:color w:val="000000" w:themeColor="text1"/>
          <w:sz w:val="23"/>
          <w:szCs w:val="23"/>
        </w:rPr>
        <w:t xml:space="preserve">. As the following graph highlights, there has been a significant increase in criminal non-appeal lodgements over the last decade (72 per cent) and a small decrease in civil non-appeal lodgements (8 per cent).   </w:t>
      </w:r>
    </w:p>
    <w:p w14:paraId="4870C33A" w14:textId="77777777" w:rsidR="00B75178" w:rsidRPr="00A23543" w:rsidRDefault="00B75178" w:rsidP="00B75178">
      <w:pPr>
        <w:pStyle w:val="NoSpacing"/>
        <w:jc w:val="both"/>
        <w:rPr>
          <w:rFonts w:ascii="Cambria" w:hAnsi="Cambria"/>
          <w:iCs/>
          <w:color w:val="000000" w:themeColor="text1"/>
          <w:sz w:val="23"/>
          <w:szCs w:val="23"/>
        </w:rPr>
      </w:pPr>
    </w:p>
    <w:p w14:paraId="2E46820F" w14:textId="7BD66FB7" w:rsidR="00B75178" w:rsidRDefault="00B75178" w:rsidP="00B75178">
      <w:pPr>
        <w:pStyle w:val="NoSpacing"/>
        <w:jc w:val="center"/>
        <w:rPr>
          <w:rFonts w:ascii="Cambria" w:hAnsi="Cambria"/>
          <w:iCs/>
          <w:color w:val="000000" w:themeColor="text1"/>
          <w:sz w:val="24"/>
          <w:szCs w:val="24"/>
        </w:rPr>
      </w:pPr>
      <w:r>
        <w:rPr>
          <w:noProof/>
          <w14:ligatures w14:val="standardContextual"/>
        </w:rPr>
        <w:drawing>
          <wp:inline distT="0" distB="0" distL="0" distR="0" wp14:anchorId="6C88B5CA" wp14:editId="3C4FAA1F">
            <wp:extent cx="4572000" cy="2743200"/>
            <wp:effectExtent l="0" t="0" r="12700" b="12700"/>
            <wp:docPr id="1107522851" name="Chart 1">
              <a:extLst xmlns:a="http://schemas.openxmlformats.org/drawingml/2006/main">
                <a:ext uri="{FF2B5EF4-FFF2-40B4-BE49-F238E27FC236}">
                  <a16:creationId xmlns:a16="http://schemas.microsoft.com/office/drawing/2014/main" id="{BFEA038C-9E7D-5CB6-CC4D-A76056FFAB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0A3292" w14:textId="768F2A70" w:rsidR="00B75178" w:rsidRPr="00217B23" w:rsidRDefault="00B75178" w:rsidP="00B75178">
      <w:pPr>
        <w:pStyle w:val="NoSpacing"/>
        <w:ind w:left="993"/>
        <w:jc w:val="both"/>
        <w:rPr>
          <w:rFonts w:ascii="Cambria" w:hAnsi="Cambria"/>
          <w:iCs/>
          <w:color w:val="000000" w:themeColor="text1"/>
          <w:sz w:val="20"/>
          <w:szCs w:val="20"/>
        </w:rPr>
      </w:pPr>
      <w:r w:rsidRPr="00217B23">
        <w:rPr>
          <w:rFonts w:ascii="Cambria" w:hAnsi="Cambria"/>
          <w:iCs/>
          <w:color w:val="000000" w:themeColor="text1"/>
          <w:sz w:val="20"/>
          <w:szCs w:val="20"/>
        </w:rPr>
        <w:t xml:space="preserve">Source: Supreme Court of Tasmania </w:t>
      </w:r>
      <w:r w:rsidRPr="00217B23">
        <w:rPr>
          <w:rFonts w:ascii="Cambria" w:hAnsi="Cambria"/>
          <w:i/>
          <w:color w:val="000000" w:themeColor="text1"/>
          <w:sz w:val="20"/>
          <w:szCs w:val="20"/>
        </w:rPr>
        <w:t>Annual Reports 2015/16 – 2024/25</w:t>
      </w:r>
      <w:r w:rsidRPr="00217B23">
        <w:rPr>
          <w:rFonts w:ascii="Cambria" w:hAnsi="Cambria"/>
          <w:iCs/>
          <w:color w:val="000000" w:themeColor="text1"/>
          <w:sz w:val="20"/>
          <w:szCs w:val="20"/>
        </w:rPr>
        <w:t xml:space="preserve"> </w:t>
      </w:r>
    </w:p>
    <w:p w14:paraId="1155B86B" w14:textId="77777777" w:rsidR="00B75178" w:rsidRPr="00217B23" w:rsidRDefault="00B75178" w:rsidP="00B75178">
      <w:pPr>
        <w:pStyle w:val="NoSpacing"/>
        <w:jc w:val="both"/>
        <w:rPr>
          <w:rFonts w:ascii="Cambria" w:hAnsi="Cambria"/>
          <w:iCs/>
          <w:color w:val="000000" w:themeColor="text1"/>
          <w:sz w:val="24"/>
          <w:szCs w:val="24"/>
        </w:rPr>
      </w:pPr>
    </w:p>
    <w:p w14:paraId="473DFE2A" w14:textId="57A01DD9" w:rsidR="00B75178" w:rsidRPr="00A23543" w:rsidRDefault="00B75178" w:rsidP="00B75178">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 xml:space="preserve">Increased demand of judicial officers in criminal law is in turn resulting in </w:t>
      </w:r>
      <w:r w:rsidR="00AF4C11" w:rsidRPr="00A23543">
        <w:rPr>
          <w:rFonts w:ascii="Cambria" w:hAnsi="Cambria"/>
          <w:iCs/>
          <w:color w:val="000000" w:themeColor="text1"/>
          <w:sz w:val="23"/>
          <w:szCs w:val="23"/>
        </w:rPr>
        <w:t>delays</w:t>
      </w:r>
      <w:r w:rsidRPr="00A23543">
        <w:rPr>
          <w:rFonts w:ascii="Cambria" w:hAnsi="Cambria"/>
          <w:iCs/>
          <w:color w:val="000000" w:themeColor="text1"/>
          <w:sz w:val="23"/>
          <w:szCs w:val="23"/>
        </w:rPr>
        <w:t xml:space="preserve"> in the civil jurisdiction as Chief Justice Shanahan recently observed</w:t>
      </w:r>
      <w:r w:rsidR="00740CD7" w:rsidRPr="00A23543">
        <w:rPr>
          <w:rFonts w:ascii="Cambria" w:hAnsi="Cambria"/>
          <w:iCs/>
          <w:color w:val="000000" w:themeColor="text1"/>
          <w:sz w:val="23"/>
          <w:szCs w:val="23"/>
        </w:rPr>
        <w:t xml:space="preserve"> about the Supreme Court</w:t>
      </w:r>
      <w:r w:rsidRPr="00A23543">
        <w:rPr>
          <w:rFonts w:ascii="Cambria" w:hAnsi="Cambria"/>
          <w:iCs/>
          <w:color w:val="000000" w:themeColor="text1"/>
          <w:sz w:val="23"/>
          <w:szCs w:val="23"/>
        </w:rPr>
        <w:t>:</w:t>
      </w:r>
      <w:r w:rsidRPr="00A23543">
        <w:rPr>
          <w:rStyle w:val="FootnoteReference"/>
          <w:rFonts w:ascii="Cambria" w:hAnsi="Cambria"/>
          <w:iCs/>
          <w:color w:val="000000" w:themeColor="text1"/>
          <w:sz w:val="23"/>
          <w:szCs w:val="23"/>
        </w:rPr>
        <w:footnoteReference w:id="8"/>
      </w:r>
      <w:r w:rsidRPr="00A23543">
        <w:rPr>
          <w:rFonts w:ascii="Cambria" w:hAnsi="Cambria"/>
          <w:iCs/>
          <w:color w:val="000000" w:themeColor="text1"/>
          <w:sz w:val="23"/>
          <w:szCs w:val="23"/>
        </w:rPr>
        <w:t xml:space="preserve"> </w:t>
      </w:r>
    </w:p>
    <w:p w14:paraId="01788FF2" w14:textId="77777777" w:rsidR="00B75178" w:rsidRPr="00A23543" w:rsidRDefault="00B75178" w:rsidP="00B75178">
      <w:pPr>
        <w:pStyle w:val="NoSpacing"/>
        <w:jc w:val="both"/>
        <w:rPr>
          <w:rFonts w:ascii="Cambria" w:hAnsi="Cambria"/>
          <w:iCs/>
          <w:color w:val="000000" w:themeColor="text1"/>
          <w:sz w:val="23"/>
          <w:szCs w:val="23"/>
        </w:rPr>
      </w:pPr>
    </w:p>
    <w:p w14:paraId="0C4FA701" w14:textId="0827F259" w:rsidR="00B75178" w:rsidRPr="00A23543" w:rsidRDefault="00B75178" w:rsidP="00B75178">
      <w:pPr>
        <w:pStyle w:val="NoSpacing"/>
        <w:ind w:left="426" w:right="567"/>
        <w:jc w:val="both"/>
        <w:rPr>
          <w:rFonts w:ascii="Cambria" w:hAnsi="Cambria"/>
          <w:i/>
          <w:color w:val="000000" w:themeColor="text1"/>
          <w:sz w:val="23"/>
          <w:szCs w:val="23"/>
        </w:rPr>
      </w:pPr>
      <w:r w:rsidRPr="00A23543">
        <w:rPr>
          <w:rFonts w:ascii="Cambria" w:hAnsi="Cambria"/>
          <w:i/>
          <w:color w:val="000000" w:themeColor="text1"/>
          <w:sz w:val="23"/>
          <w:szCs w:val="23"/>
        </w:rPr>
        <w:t xml:space="preserve">The continuing emphasis on allocating judicial resources to criminal work has had an impact on the Court’s capacity to discharge its obligations in its civil jurisdiction. The proportion of civil cases older than 24 months has continued to grow and now encompasses 243 cases or 26.2% of the civil work of the Court. Of further concern is that 22% of the civil case load is between 12 and 24 months old.  </w:t>
      </w:r>
    </w:p>
    <w:p w14:paraId="6B052534" w14:textId="77777777" w:rsidR="00B75178" w:rsidRPr="00A23543" w:rsidRDefault="00B75178" w:rsidP="00D90352">
      <w:pPr>
        <w:pStyle w:val="NoSpacing"/>
        <w:jc w:val="both"/>
        <w:rPr>
          <w:rFonts w:ascii="Cambria" w:hAnsi="Cambria"/>
          <w:iCs/>
          <w:color w:val="000000" w:themeColor="text1"/>
          <w:sz w:val="23"/>
          <w:szCs w:val="23"/>
        </w:rPr>
      </w:pPr>
    </w:p>
    <w:p w14:paraId="12692410" w14:textId="53697EEF" w:rsidR="00B75178" w:rsidRPr="00A23543" w:rsidRDefault="00B75178" w:rsidP="00D90352">
      <w:pPr>
        <w:pStyle w:val="NoSpacing"/>
        <w:jc w:val="both"/>
        <w:rPr>
          <w:rFonts w:ascii="Cambria" w:hAnsi="Cambria"/>
          <w:iCs/>
          <w:color w:val="000000" w:themeColor="text1"/>
          <w:sz w:val="23"/>
          <w:szCs w:val="23"/>
        </w:rPr>
      </w:pPr>
      <w:r w:rsidRPr="00A23543">
        <w:rPr>
          <w:rFonts w:ascii="Cambria" w:hAnsi="Cambria"/>
          <w:iCs/>
          <w:color w:val="000000" w:themeColor="text1"/>
          <w:sz w:val="23"/>
          <w:szCs w:val="23"/>
        </w:rPr>
        <w:t xml:space="preserve">In the Magistrates Court, although there has been little change </w:t>
      </w:r>
      <w:r w:rsidR="00740CD7" w:rsidRPr="00A23543">
        <w:rPr>
          <w:rFonts w:ascii="Cambria" w:hAnsi="Cambria"/>
          <w:iCs/>
          <w:color w:val="000000" w:themeColor="text1"/>
          <w:sz w:val="23"/>
          <w:szCs w:val="23"/>
        </w:rPr>
        <w:t xml:space="preserve">in lodgements </w:t>
      </w:r>
      <w:r w:rsidRPr="00A23543">
        <w:rPr>
          <w:rFonts w:ascii="Cambria" w:hAnsi="Cambria"/>
          <w:iCs/>
          <w:color w:val="000000" w:themeColor="text1"/>
          <w:sz w:val="23"/>
          <w:szCs w:val="23"/>
        </w:rPr>
        <w:t>over the last decade, there has been a significant increase over the last three years with both criminal and civil lodgements increasing by 20 per cent, as the graph below highlights.</w:t>
      </w:r>
    </w:p>
    <w:p w14:paraId="2EC640D7" w14:textId="77777777" w:rsidR="00B75178" w:rsidRDefault="00B75178" w:rsidP="00D90352">
      <w:pPr>
        <w:pStyle w:val="NoSpacing"/>
        <w:jc w:val="both"/>
        <w:rPr>
          <w:rFonts w:ascii="Cambria" w:hAnsi="Cambria"/>
          <w:iCs/>
          <w:color w:val="000000" w:themeColor="text1"/>
          <w:sz w:val="24"/>
          <w:szCs w:val="24"/>
        </w:rPr>
      </w:pPr>
    </w:p>
    <w:p w14:paraId="00385706" w14:textId="48CD9086" w:rsidR="00B75178" w:rsidRDefault="00B75178" w:rsidP="00B75178">
      <w:pPr>
        <w:pStyle w:val="NoSpacing"/>
        <w:jc w:val="center"/>
        <w:rPr>
          <w:rFonts w:ascii="Cambria" w:hAnsi="Cambria"/>
          <w:iCs/>
          <w:color w:val="000000" w:themeColor="text1"/>
          <w:sz w:val="24"/>
          <w:szCs w:val="24"/>
        </w:rPr>
      </w:pPr>
      <w:r>
        <w:rPr>
          <w:noProof/>
          <w14:ligatures w14:val="standardContextual"/>
        </w:rPr>
        <w:lastRenderedPageBreak/>
        <w:drawing>
          <wp:inline distT="0" distB="0" distL="0" distR="0" wp14:anchorId="112E3B26" wp14:editId="3D774B8A">
            <wp:extent cx="4572000" cy="2743200"/>
            <wp:effectExtent l="0" t="0" r="12700" b="12700"/>
            <wp:docPr id="1659396952" name="Chart 1">
              <a:extLst xmlns:a="http://schemas.openxmlformats.org/drawingml/2006/main">
                <a:ext uri="{FF2B5EF4-FFF2-40B4-BE49-F238E27FC236}">
                  <a16:creationId xmlns:a16="http://schemas.microsoft.com/office/drawing/2014/main" id="{31075FBB-6099-3FCC-A81C-473F3E248E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E35CCD" w14:textId="0EA760BC" w:rsidR="00424FD3" w:rsidRDefault="00424FD3" w:rsidP="00D90352">
      <w:pPr>
        <w:pStyle w:val="NoSpacing"/>
        <w:jc w:val="both"/>
        <w:rPr>
          <w:rFonts w:ascii="Cambria" w:hAnsi="Cambria"/>
          <w:iCs/>
          <w:color w:val="000000" w:themeColor="text1"/>
          <w:sz w:val="24"/>
          <w:szCs w:val="24"/>
        </w:rPr>
      </w:pPr>
    </w:p>
    <w:p w14:paraId="43EC3A40" w14:textId="6777AE19" w:rsidR="002A0B4F" w:rsidRPr="00A23543" w:rsidRDefault="00AF4C11" w:rsidP="002A0B4F">
      <w:pPr>
        <w:pStyle w:val="NoSpacing"/>
        <w:jc w:val="both"/>
        <w:rPr>
          <w:rStyle w:val="normaltextrun"/>
          <w:rFonts w:ascii="Cambria" w:hAnsi="Cambria"/>
          <w:sz w:val="23"/>
          <w:szCs w:val="23"/>
        </w:rPr>
      </w:pPr>
      <w:r w:rsidRPr="00A23543">
        <w:rPr>
          <w:rFonts w:ascii="Cambria" w:hAnsi="Cambria"/>
          <w:iCs/>
          <w:color w:val="000000" w:themeColor="text1"/>
          <w:sz w:val="23"/>
          <w:szCs w:val="23"/>
        </w:rPr>
        <w:t xml:space="preserve">One reform that </w:t>
      </w:r>
      <w:r w:rsidR="002A0B4F" w:rsidRPr="00A23543">
        <w:rPr>
          <w:rFonts w:ascii="Cambria" w:hAnsi="Cambria"/>
          <w:iCs/>
          <w:color w:val="000000" w:themeColor="text1"/>
          <w:sz w:val="23"/>
          <w:szCs w:val="23"/>
        </w:rPr>
        <w:t xml:space="preserve">should be considered is transferring residential tenancy matters from the Magistrates Court to the Tasmanian Civil and Administrative Tribunal (TASCAT). In its 2024 report </w:t>
      </w:r>
      <w:r w:rsidR="002A0B4F" w:rsidRPr="00A23543">
        <w:rPr>
          <w:rStyle w:val="normaltextrun"/>
          <w:rFonts w:ascii="Cambria" w:hAnsi="Cambria"/>
          <w:i/>
          <w:iCs/>
          <w:sz w:val="23"/>
          <w:szCs w:val="23"/>
        </w:rPr>
        <w:t>Tenancy Matters! The case for transferring tenancy cases from the Magistrates Court to TASCAT</w:t>
      </w:r>
      <w:r w:rsidR="002A0B4F" w:rsidRPr="00A23543">
        <w:rPr>
          <w:rStyle w:val="normaltextrun"/>
          <w:rFonts w:ascii="Cambria" w:hAnsi="Cambria"/>
          <w:sz w:val="23"/>
          <w:szCs w:val="23"/>
        </w:rPr>
        <w:t>,</w:t>
      </w:r>
      <w:r w:rsidR="002A0B4F" w:rsidRPr="00A23543">
        <w:rPr>
          <w:rStyle w:val="FootnoteReference"/>
          <w:rFonts w:ascii="Cambria" w:hAnsi="Cambria"/>
          <w:sz w:val="23"/>
          <w:szCs w:val="23"/>
        </w:rPr>
        <w:footnoteReference w:id="9"/>
      </w:r>
      <w:r w:rsidR="002A0B4F" w:rsidRPr="00A23543">
        <w:rPr>
          <w:rStyle w:val="normaltextrun"/>
          <w:rFonts w:ascii="Cambria" w:hAnsi="Cambria"/>
          <w:sz w:val="23"/>
          <w:szCs w:val="23"/>
        </w:rPr>
        <w:t xml:space="preserve"> the author noted that the “parties to residential tenancy disputes are currently subject to inordinate delays in the Magistrates Court, particularly for matters that are considered less urgent… [and] there is a lack of consistency and transparency of decision making”.</w:t>
      </w:r>
      <w:r w:rsidR="002A0B4F" w:rsidRPr="00A23543">
        <w:rPr>
          <w:rStyle w:val="FootnoteReference"/>
          <w:rFonts w:ascii="Cambria" w:hAnsi="Cambria"/>
          <w:sz w:val="23"/>
          <w:szCs w:val="23"/>
        </w:rPr>
        <w:footnoteReference w:id="10"/>
      </w:r>
      <w:r w:rsidR="002A0B4F" w:rsidRPr="00A23543">
        <w:rPr>
          <w:rStyle w:val="normaltextrun"/>
          <w:rFonts w:ascii="Cambria" w:hAnsi="Cambria"/>
          <w:sz w:val="23"/>
          <w:szCs w:val="23"/>
        </w:rPr>
        <w:t xml:space="preserve"> </w:t>
      </w:r>
    </w:p>
    <w:p w14:paraId="48B8F5FC" w14:textId="77777777" w:rsidR="002A0B4F" w:rsidRPr="00A23543" w:rsidRDefault="002A0B4F" w:rsidP="002A0B4F">
      <w:pPr>
        <w:pStyle w:val="NoSpacing"/>
        <w:jc w:val="both"/>
        <w:rPr>
          <w:rStyle w:val="normaltextrun"/>
          <w:rFonts w:ascii="Cambria" w:hAnsi="Cambria"/>
          <w:sz w:val="23"/>
          <w:szCs w:val="23"/>
        </w:rPr>
      </w:pPr>
    </w:p>
    <w:p w14:paraId="2555FB07" w14:textId="76A6F226" w:rsidR="002A0B4F" w:rsidRPr="00A23543" w:rsidRDefault="002A0B4F" w:rsidP="002A0B4F">
      <w:pPr>
        <w:pStyle w:val="NoSpacing"/>
        <w:jc w:val="both"/>
        <w:rPr>
          <w:rStyle w:val="normaltextrun"/>
          <w:rFonts w:ascii="Cambria" w:hAnsi="Cambria"/>
          <w:sz w:val="23"/>
          <w:szCs w:val="23"/>
        </w:rPr>
      </w:pPr>
      <w:r w:rsidRPr="00A23543">
        <w:rPr>
          <w:rStyle w:val="normaltextrun"/>
          <w:rFonts w:ascii="Cambria" w:hAnsi="Cambria"/>
          <w:sz w:val="23"/>
          <w:szCs w:val="23"/>
        </w:rPr>
        <w:t xml:space="preserve">Residential tenancy matters currently heard in the Magistrates Court include eviction proceedings, claims for compensation and appeals of bonds, unreasonable rent increases and orders for repairs with around 15-20 per cent of all civil matters heard in the Magistrates Court being applications made pursuant to the </w:t>
      </w:r>
      <w:r w:rsidRPr="00A23543">
        <w:rPr>
          <w:rStyle w:val="normaltextrun"/>
          <w:rFonts w:ascii="Cambria" w:hAnsi="Cambria"/>
          <w:i/>
          <w:iCs/>
          <w:sz w:val="23"/>
          <w:szCs w:val="23"/>
        </w:rPr>
        <w:t>Residential Tenancy Act 1997</w:t>
      </w:r>
      <w:r w:rsidRPr="00A23543">
        <w:rPr>
          <w:rStyle w:val="normaltextrun"/>
          <w:rFonts w:ascii="Cambria" w:hAnsi="Cambria"/>
          <w:sz w:val="23"/>
          <w:szCs w:val="23"/>
        </w:rPr>
        <w:t xml:space="preserve"> (Tas).</w:t>
      </w:r>
      <w:r w:rsidRPr="00A23543">
        <w:rPr>
          <w:rStyle w:val="FootnoteReference"/>
          <w:rFonts w:ascii="Cambria" w:hAnsi="Cambria"/>
          <w:sz w:val="23"/>
          <w:szCs w:val="23"/>
        </w:rPr>
        <w:footnoteReference w:id="11"/>
      </w:r>
    </w:p>
    <w:p w14:paraId="787DE1AD" w14:textId="6E8BF709" w:rsidR="002A0B4F" w:rsidRPr="00A23543" w:rsidRDefault="002A0B4F" w:rsidP="002A0B4F">
      <w:pPr>
        <w:pStyle w:val="NoSpacing"/>
        <w:jc w:val="both"/>
        <w:rPr>
          <w:rStyle w:val="normaltextrun"/>
          <w:rFonts w:ascii="Cambria" w:hAnsi="Cambria"/>
          <w:sz w:val="23"/>
          <w:szCs w:val="23"/>
        </w:rPr>
      </w:pPr>
    </w:p>
    <w:p w14:paraId="5EC11A2D" w14:textId="77777777" w:rsidR="002A0B4F" w:rsidRPr="00A23543" w:rsidRDefault="002A0B4F" w:rsidP="002A0B4F">
      <w:pPr>
        <w:pStyle w:val="NoSpacing"/>
        <w:jc w:val="both"/>
        <w:rPr>
          <w:rStyle w:val="normaltextrun"/>
          <w:rFonts w:ascii="Cambria" w:hAnsi="Cambria"/>
          <w:sz w:val="23"/>
          <w:szCs w:val="23"/>
        </w:rPr>
      </w:pPr>
      <w:r w:rsidRPr="00A23543">
        <w:rPr>
          <w:rStyle w:val="normaltextrun"/>
          <w:rFonts w:ascii="Cambria" w:hAnsi="Cambria"/>
          <w:sz w:val="23"/>
          <w:szCs w:val="23"/>
        </w:rPr>
        <w:t>Transferring residential tenancy matters to TASCAT would mean that around 500 of the 2711 civil lodgements in Tasmania’s Magistrates Court in 2024-25</w:t>
      </w:r>
      <w:r w:rsidRPr="00A23543">
        <w:rPr>
          <w:rStyle w:val="FootnoteReference"/>
          <w:rFonts w:ascii="Cambria" w:hAnsi="Cambria"/>
          <w:sz w:val="23"/>
          <w:szCs w:val="23"/>
        </w:rPr>
        <w:footnoteReference w:id="12"/>
      </w:r>
      <w:r w:rsidRPr="00A23543">
        <w:rPr>
          <w:rStyle w:val="normaltextrun"/>
          <w:rFonts w:ascii="Cambria" w:hAnsi="Cambria"/>
          <w:sz w:val="23"/>
          <w:szCs w:val="23"/>
        </w:rPr>
        <w:t xml:space="preserve"> could be heard in TASCAT, freeing up time for Magistrates to hear other cases. Relevantly, residential tenancy disputes in every Australian jurisdiction except Western Australia and Tasmania are heard by their respective Civil and Administrative Tribunal.</w:t>
      </w:r>
      <w:r w:rsidRPr="00A23543">
        <w:rPr>
          <w:rStyle w:val="FootnoteReference"/>
          <w:rFonts w:ascii="Cambria" w:hAnsi="Cambria"/>
          <w:sz w:val="23"/>
          <w:szCs w:val="23"/>
        </w:rPr>
        <w:footnoteReference w:id="13"/>
      </w:r>
      <w:r w:rsidRPr="00A23543">
        <w:rPr>
          <w:rStyle w:val="normaltextrun"/>
          <w:rFonts w:ascii="Cambria" w:hAnsi="Cambria"/>
          <w:sz w:val="23"/>
          <w:szCs w:val="23"/>
        </w:rPr>
        <w:t xml:space="preserve"> </w:t>
      </w:r>
    </w:p>
    <w:p w14:paraId="39D0343A" w14:textId="77777777" w:rsidR="002A0B4F" w:rsidRPr="00A23543" w:rsidRDefault="002A0B4F" w:rsidP="002A0B4F">
      <w:pPr>
        <w:pStyle w:val="NoSpacing"/>
        <w:jc w:val="both"/>
        <w:rPr>
          <w:rStyle w:val="normaltextrun"/>
          <w:rFonts w:ascii="Cambria" w:hAnsi="Cambria"/>
          <w:sz w:val="23"/>
          <w:szCs w:val="23"/>
        </w:rPr>
      </w:pPr>
    </w:p>
    <w:p w14:paraId="75CE97F2" w14:textId="5C0AFA58" w:rsidR="002A0B4F" w:rsidRPr="00A23543" w:rsidRDefault="002A0B4F" w:rsidP="002A0B4F">
      <w:pPr>
        <w:pStyle w:val="NoSpacing"/>
        <w:jc w:val="both"/>
        <w:rPr>
          <w:rFonts w:ascii="Cambria" w:hAnsi="Cambria"/>
          <w:sz w:val="23"/>
          <w:szCs w:val="23"/>
        </w:rPr>
      </w:pPr>
      <w:proofErr w:type="gramStart"/>
      <w:r w:rsidRPr="00A23543">
        <w:rPr>
          <w:rStyle w:val="normaltextrun"/>
          <w:rFonts w:ascii="Cambria" w:hAnsi="Cambria"/>
          <w:sz w:val="23"/>
          <w:szCs w:val="23"/>
        </w:rPr>
        <w:t>In the event that</w:t>
      </w:r>
      <w:proofErr w:type="gramEnd"/>
      <w:r w:rsidRPr="00A23543">
        <w:rPr>
          <w:rStyle w:val="normaltextrun"/>
          <w:rFonts w:ascii="Cambria" w:hAnsi="Cambria"/>
          <w:sz w:val="23"/>
          <w:szCs w:val="23"/>
        </w:rPr>
        <w:t xml:space="preserve"> transferring residential tenancy matters to TASCAT was not recommended, there are reforms within the jurisdiction of the Magistrates Court that </w:t>
      </w:r>
      <w:r w:rsidR="00740CD7" w:rsidRPr="00A23543">
        <w:rPr>
          <w:rStyle w:val="normaltextrun"/>
          <w:rFonts w:ascii="Cambria" w:hAnsi="Cambria"/>
          <w:sz w:val="23"/>
          <w:szCs w:val="23"/>
        </w:rPr>
        <w:t>c</w:t>
      </w:r>
      <w:r w:rsidRPr="00A23543">
        <w:rPr>
          <w:rStyle w:val="normaltextrun"/>
          <w:rFonts w:ascii="Cambria" w:hAnsi="Cambria"/>
          <w:sz w:val="23"/>
          <w:szCs w:val="23"/>
        </w:rPr>
        <w:t>ould be implemented to ensure that disputes were resolved consistently and expeditiously</w:t>
      </w:r>
      <w:r w:rsidR="00740CD7" w:rsidRPr="00A23543">
        <w:rPr>
          <w:rStyle w:val="normaltextrun"/>
          <w:rFonts w:ascii="Cambria" w:hAnsi="Cambria"/>
          <w:sz w:val="23"/>
          <w:szCs w:val="23"/>
        </w:rPr>
        <w:t>, including:</w:t>
      </w:r>
      <w:r w:rsidRPr="00A23543">
        <w:rPr>
          <w:rStyle w:val="eop"/>
          <w:rFonts w:ascii="Cambria" w:hAnsi="Cambria"/>
          <w:sz w:val="23"/>
          <w:szCs w:val="23"/>
        </w:rPr>
        <w:t> </w:t>
      </w:r>
    </w:p>
    <w:p w14:paraId="4D4194EC" w14:textId="2551A8E9" w:rsidR="002A0B4F" w:rsidRPr="00A23543" w:rsidRDefault="002A0B4F" w:rsidP="002A0B4F">
      <w:pPr>
        <w:pStyle w:val="NoSpacing"/>
        <w:jc w:val="both"/>
        <w:rPr>
          <w:rStyle w:val="normaltextrun"/>
          <w:rFonts w:ascii="Cambria" w:hAnsi="Cambria"/>
          <w:sz w:val="23"/>
          <w:szCs w:val="23"/>
        </w:rPr>
      </w:pPr>
      <w:r w:rsidRPr="00A23543">
        <w:rPr>
          <w:rStyle w:val="normaltextrun"/>
          <w:rFonts w:ascii="Cambria" w:hAnsi="Cambria"/>
          <w:sz w:val="23"/>
          <w:szCs w:val="23"/>
        </w:rPr>
        <w:t xml:space="preserve">. </w:t>
      </w:r>
    </w:p>
    <w:p w14:paraId="4844F733" w14:textId="77777777" w:rsidR="002A0B4F" w:rsidRPr="00A23543" w:rsidRDefault="002A0B4F" w:rsidP="002A0B4F">
      <w:pPr>
        <w:pStyle w:val="NoSpacing"/>
        <w:numPr>
          <w:ilvl w:val="0"/>
          <w:numId w:val="20"/>
        </w:numPr>
        <w:jc w:val="both"/>
        <w:rPr>
          <w:rStyle w:val="eop"/>
          <w:rFonts w:ascii="Cambria" w:hAnsi="Cambria"/>
          <w:sz w:val="23"/>
          <w:szCs w:val="23"/>
        </w:rPr>
      </w:pPr>
      <w:r w:rsidRPr="00A23543">
        <w:rPr>
          <w:rStyle w:val="normaltextrun"/>
          <w:rFonts w:ascii="Cambria" w:hAnsi="Cambria"/>
          <w:sz w:val="23"/>
          <w:szCs w:val="23"/>
        </w:rPr>
        <w:t>Dedicated civil Magistrates and lists;</w:t>
      </w:r>
      <w:r w:rsidRPr="00A23543">
        <w:rPr>
          <w:rStyle w:val="eop"/>
          <w:rFonts w:ascii="Cambria" w:hAnsi="Cambria"/>
          <w:sz w:val="23"/>
          <w:szCs w:val="23"/>
        </w:rPr>
        <w:t> </w:t>
      </w:r>
    </w:p>
    <w:p w14:paraId="2417065D" w14:textId="2B838A8E" w:rsidR="002A0B4F" w:rsidRPr="00A23543" w:rsidRDefault="002A0B4F" w:rsidP="002A0B4F">
      <w:pPr>
        <w:pStyle w:val="NoSpacing"/>
        <w:numPr>
          <w:ilvl w:val="0"/>
          <w:numId w:val="20"/>
        </w:numPr>
        <w:jc w:val="both"/>
        <w:rPr>
          <w:rStyle w:val="normaltextrun"/>
          <w:rFonts w:ascii="Cambria" w:hAnsi="Cambria"/>
          <w:sz w:val="23"/>
          <w:szCs w:val="23"/>
        </w:rPr>
      </w:pPr>
      <w:r w:rsidRPr="00A23543">
        <w:rPr>
          <w:rStyle w:val="normaltextrun"/>
          <w:rFonts w:ascii="Cambria" w:hAnsi="Cambria"/>
          <w:sz w:val="23"/>
          <w:szCs w:val="23"/>
        </w:rPr>
        <w:t>Updating the Court’s civil rules and practices around publishing decisions, reopening matters and allowing representation;</w:t>
      </w:r>
    </w:p>
    <w:p w14:paraId="3D611668" w14:textId="7067235A" w:rsidR="002A0B4F" w:rsidRPr="00A23543" w:rsidRDefault="002A0B4F" w:rsidP="002A0B4F">
      <w:pPr>
        <w:pStyle w:val="NoSpacing"/>
        <w:numPr>
          <w:ilvl w:val="0"/>
          <w:numId w:val="20"/>
        </w:numPr>
        <w:jc w:val="both"/>
        <w:rPr>
          <w:rStyle w:val="normaltextrun"/>
          <w:rFonts w:ascii="Cambria" w:hAnsi="Cambria"/>
          <w:sz w:val="23"/>
          <w:szCs w:val="23"/>
        </w:rPr>
      </w:pPr>
      <w:r w:rsidRPr="00A23543">
        <w:rPr>
          <w:rStyle w:val="normaltextrun"/>
          <w:rFonts w:ascii="Cambria" w:hAnsi="Cambria"/>
          <w:sz w:val="23"/>
          <w:szCs w:val="23"/>
        </w:rPr>
        <w:lastRenderedPageBreak/>
        <w:t>An overhaul and modernisation of information technology: electronic lodgement, case file management, and record keeping, and permissive policies regarding remote appearances at hearings; and</w:t>
      </w:r>
    </w:p>
    <w:p w14:paraId="4D32E2CD" w14:textId="4059500F" w:rsidR="002A0B4F" w:rsidRPr="00A23543" w:rsidRDefault="002A0B4F" w:rsidP="002A0B4F">
      <w:pPr>
        <w:pStyle w:val="NoSpacing"/>
        <w:numPr>
          <w:ilvl w:val="0"/>
          <w:numId w:val="20"/>
        </w:numPr>
        <w:jc w:val="both"/>
        <w:rPr>
          <w:rFonts w:ascii="Cambria" w:hAnsi="Cambria"/>
          <w:sz w:val="23"/>
          <w:szCs w:val="23"/>
        </w:rPr>
      </w:pPr>
      <w:r w:rsidRPr="00A23543">
        <w:rPr>
          <w:rStyle w:val="normaltextrun"/>
          <w:rFonts w:ascii="Cambria" w:hAnsi="Cambria"/>
          <w:sz w:val="23"/>
          <w:szCs w:val="23"/>
        </w:rPr>
        <w:t>Use of Alternative Dispute Resolution in tenancy matters.</w:t>
      </w:r>
      <w:r w:rsidRPr="00A23543">
        <w:rPr>
          <w:rStyle w:val="eop"/>
          <w:rFonts w:ascii="Cambria" w:hAnsi="Cambria"/>
          <w:sz w:val="23"/>
          <w:szCs w:val="23"/>
        </w:rPr>
        <w:t> </w:t>
      </w:r>
    </w:p>
    <w:p w14:paraId="2F0A9AA3" w14:textId="2C32ECBE" w:rsidR="002A0B4F" w:rsidRPr="00A23543" w:rsidRDefault="002A0B4F" w:rsidP="002A0B4F">
      <w:pPr>
        <w:pStyle w:val="NoSpacing"/>
        <w:jc w:val="both"/>
        <w:rPr>
          <w:rStyle w:val="normaltextrun"/>
          <w:rFonts w:ascii="Cambria" w:hAnsi="Cambria"/>
          <w:sz w:val="23"/>
          <w:szCs w:val="23"/>
        </w:rPr>
      </w:pPr>
      <w:r w:rsidRPr="00A23543">
        <w:rPr>
          <w:rStyle w:val="normaltextrun"/>
          <w:rFonts w:ascii="Cambria" w:hAnsi="Cambria"/>
          <w:sz w:val="23"/>
          <w:szCs w:val="23"/>
        </w:rPr>
        <w:t xml:space="preserve">   </w:t>
      </w:r>
    </w:p>
    <w:p w14:paraId="29EC16F7" w14:textId="291C91DC" w:rsidR="002A0B4F" w:rsidRPr="00A23543" w:rsidRDefault="002A0B4F" w:rsidP="002A0B4F">
      <w:pPr>
        <w:pStyle w:val="NoSpacing"/>
        <w:numPr>
          <w:ilvl w:val="0"/>
          <w:numId w:val="1"/>
        </w:numPr>
        <w:jc w:val="both"/>
        <w:rPr>
          <w:rStyle w:val="normaltextrun"/>
          <w:rFonts w:ascii="Cambria" w:hAnsi="Cambria"/>
          <w:b/>
          <w:bCs/>
          <w:i/>
          <w:iCs/>
          <w:sz w:val="23"/>
          <w:szCs w:val="23"/>
        </w:rPr>
      </w:pPr>
      <w:r w:rsidRPr="00A23543">
        <w:rPr>
          <w:rStyle w:val="normaltextrun"/>
          <w:rFonts w:ascii="Cambria" w:hAnsi="Cambria"/>
          <w:b/>
          <w:bCs/>
          <w:i/>
          <w:iCs/>
          <w:sz w:val="23"/>
          <w:szCs w:val="23"/>
        </w:rPr>
        <w:t>Disclosure</w:t>
      </w:r>
    </w:p>
    <w:p w14:paraId="4CF14787" w14:textId="77777777" w:rsidR="002A0B4F" w:rsidRPr="00A23543" w:rsidRDefault="002A0B4F" w:rsidP="002A0B4F">
      <w:pPr>
        <w:ind w:right="-347"/>
        <w:jc w:val="both"/>
        <w:rPr>
          <w:rFonts w:ascii="Cambria" w:hAnsi="Cambria"/>
          <w:bCs/>
          <w:color w:val="000000" w:themeColor="text1"/>
          <w:sz w:val="23"/>
          <w:szCs w:val="23"/>
        </w:rPr>
      </w:pPr>
      <w:r w:rsidRPr="00A23543">
        <w:rPr>
          <w:rFonts w:ascii="Cambria" w:hAnsi="Cambria" w:cs="Arial"/>
          <w:color w:val="000000" w:themeColor="text1"/>
          <w:sz w:val="23"/>
          <w:szCs w:val="23"/>
        </w:rPr>
        <w:t xml:space="preserve">The disclosure of prosecution evidence in a timely manner is important for many reasons including reducing delays and inefficiencies. </w:t>
      </w:r>
      <w:r w:rsidRPr="00A23543">
        <w:rPr>
          <w:rFonts w:ascii="Cambria" w:hAnsi="Cambria"/>
          <w:bCs/>
          <w:color w:val="000000" w:themeColor="text1"/>
          <w:sz w:val="23"/>
          <w:szCs w:val="23"/>
        </w:rPr>
        <w:t xml:space="preserve">Anecdotally, we are aware of </w:t>
      </w:r>
      <w:proofErr w:type="gramStart"/>
      <w:r w:rsidRPr="00A23543">
        <w:rPr>
          <w:rFonts w:ascii="Cambria" w:hAnsi="Cambria"/>
          <w:bCs/>
          <w:color w:val="000000" w:themeColor="text1"/>
          <w:sz w:val="23"/>
          <w:szCs w:val="23"/>
        </w:rPr>
        <w:t>a number of</w:t>
      </w:r>
      <w:proofErr w:type="gramEnd"/>
      <w:r w:rsidRPr="00A23543">
        <w:rPr>
          <w:rFonts w:ascii="Cambria" w:hAnsi="Cambria"/>
          <w:bCs/>
          <w:color w:val="000000" w:themeColor="text1"/>
          <w:sz w:val="23"/>
          <w:szCs w:val="23"/>
        </w:rPr>
        <w:t xml:space="preserve"> cases where the accused has had access to either no or insufficient evidence to confidently enter a plea, particularly in circumstances in which elements of the crime include a mental element or a legal defence is available. Indeed, in a recently reported case an accused who first appeared in the Magistrates Court in February 2025 was still waiting for disclosure at his next appearance in October 2025.</w:t>
      </w:r>
      <w:r w:rsidRPr="00A23543">
        <w:rPr>
          <w:rStyle w:val="FootnoteReference"/>
          <w:rFonts w:ascii="Cambria" w:hAnsi="Cambria"/>
          <w:bCs/>
          <w:color w:val="000000" w:themeColor="text1"/>
          <w:sz w:val="23"/>
          <w:szCs w:val="23"/>
        </w:rPr>
        <w:footnoteReference w:id="14"/>
      </w:r>
      <w:r w:rsidRPr="00A23543">
        <w:rPr>
          <w:rFonts w:ascii="Cambria" w:hAnsi="Cambria"/>
          <w:bCs/>
          <w:color w:val="000000" w:themeColor="text1"/>
          <w:sz w:val="23"/>
          <w:szCs w:val="23"/>
        </w:rPr>
        <w:t xml:space="preserve">  </w:t>
      </w:r>
    </w:p>
    <w:p w14:paraId="611B28E3" w14:textId="77777777" w:rsidR="002A0B4F" w:rsidRPr="00A23543" w:rsidRDefault="002A0B4F" w:rsidP="002A0B4F">
      <w:pPr>
        <w:ind w:right="-347"/>
        <w:jc w:val="both"/>
        <w:rPr>
          <w:rFonts w:ascii="Cambria" w:hAnsi="Cambria"/>
          <w:bCs/>
          <w:color w:val="000000" w:themeColor="text1"/>
          <w:sz w:val="23"/>
          <w:szCs w:val="23"/>
        </w:rPr>
      </w:pPr>
    </w:p>
    <w:p w14:paraId="4FE471E6" w14:textId="12E72B7E" w:rsidR="002A0B4F" w:rsidRPr="00A23543" w:rsidRDefault="002A0B4F" w:rsidP="002A0B4F">
      <w:pPr>
        <w:ind w:right="-347"/>
        <w:jc w:val="both"/>
        <w:rPr>
          <w:rFonts w:ascii="Cambria" w:hAnsi="Cambria"/>
          <w:bCs/>
          <w:color w:val="000000" w:themeColor="text1"/>
          <w:sz w:val="23"/>
          <w:szCs w:val="23"/>
        </w:rPr>
      </w:pPr>
      <w:r w:rsidRPr="00A23543">
        <w:rPr>
          <w:rFonts w:ascii="Cambria" w:hAnsi="Cambria"/>
          <w:bCs/>
          <w:color w:val="000000" w:themeColor="text1"/>
          <w:sz w:val="23"/>
          <w:szCs w:val="23"/>
        </w:rPr>
        <w:t>The failure of Tasmania Police to provide disclosure is not just of concern in the Magistrates Court, with the former Chief Justice Alan Blow observing in 2024/25:</w:t>
      </w:r>
      <w:r w:rsidRPr="00A23543">
        <w:rPr>
          <w:rStyle w:val="FootnoteReference"/>
          <w:rFonts w:ascii="Cambria" w:hAnsi="Cambria"/>
          <w:bCs/>
          <w:color w:val="000000" w:themeColor="text1"/>
          <w:sz w:val="23"/>
          <w:szCs w:val="23"/>
        </w:rPr>
        <w:footnoteReference w:id="15"/>
      </w:r>
    </w:p>
    <w:p w14:paraId="670DEE09" w14:textId="77777777" w:rsidR="002A0B4F" w:rsidRPr="00A23543" w:rsidRDefault="002A0B4F" w:rsidP="002A0B4F">
      <w:pPr>
        <w:ind w:right="-347"/>
        <w:jc w:val="both"/>
        <w:rPr>
          <w:rFonts w:ascii="Cambria" w:hAnsi="Cambria"/>
          <w:bCs/>
          <w:color w:val="000000" w:themeColor="text1"/>
          <w:sz w:val="23"/>
          <w:szCs w:val="23"/>
        </w:rPr>
      </w:pPr>
    </w:p>
    <w:p w14:paraId="54CF6B06" w14:textId="789FC7E6" w:rsidR="002A0B4F" w:rsidRPr="00B24A0F" w:rsidRDefault="002A0B4F" w:rsidP="002A0B4F">
      <w:pPr>
        <w:ind w:left="567" w:right="567"/>
        <w:jc w:val="both"/>
        <w:rPr>
          <w:rFonts w:ascii="Cambria" w:hAnsi="Cambria"/>
          <w:bCs/>
          <w:i/>
          <w:iCs/>
          <w:color w:val="000000" w:themeColor="text1"/>
          <w:sz w:val="23"/>
          <w:szCs w:val="23"/>
        </w:rPr>
      </w:pPr>
      <w:r w:rsidRPr="00B24A0F">
        <w:rPr>
          <w:rFonts w:ascii="Cambria" w:hAnsi="Cambria"/>
          <w:bCs/>
          <w:i/>
          <w:iCs/>
          <w:color w:val="000000" w:themeColor="text1"/>
          <w:sz w:val="23"/>
          <w:szCs w:val="23"/>
        </w:rPr>
        <w:t xml:space="preserve">Throughout the reporting year the Court encountered unacceptable delays on the part of Tasmania Police in Hobart in relation to the disclosure of documents and recordings to defence counsel, and in relation to the completion of files after accused persons had been committed for trial. Delays in relation to these matters have been common for years. </w:t>
      </w:r>
      <w:proofErr w:type="gramStart"/>
      <w:r w:rsidRPr="00B24A0F">
        <w:rPr>
          <w:rFonts w:ascii="Cambria" w:hAnsi="Cambria"/>
          <w:bCs/>
          <w:i/>
          <w:iCs/>
          <w:color w:val="000000" w:themeColor="text1"/>
          <w:sz w:val="23"/>
          <w:szCs w:val="23"/>
        </w:rPr>
        <w:t>However</w:t>
      </w:r>
      <w:proofErr w:type="gramEnd"/>
      <w:r w:rsidRPr="00B24A0F">
        <w:rPr>
          <w:rFonts w:ascii="Cambria" w:hAnsi="Cambria"/>
          <w:bCs/>
          <w:i/>
          <w:iCs/>
          <w:color w:val="000000" w:themeColor="text1"/>
          <w:sz w:val="23"/>
          <w:szCs w:val="23"/>
        </w:rPr>
        <w:t xml:space="preserve"> the number of cases </w:t>
      </w:r>
      <w:proofErr w:type="gramStart"/>
      <w:r w:rsidRPr="00B24A0F">
        <w:rPr>
          <w:rFonts w:ascii="Cambria" w:hAnsi="Cambria"/>
          <w:bCs/>
          <w:i/>
          <w:iCs/>
          <w:color w:val="000000" w:themeColor="text1"/>
          <w:sz w:val="23"/>
          <w:szCs w:val="23"/>
        </w:rPr>
        <w:t>delayed</w:t>
      </w:r>
      <w:proofErr w:type="gramEnd"/>
      <w:r w:rsidRPr="00B24A0F">
        <w:rPr>
          <w:rFonts w:ascii="Cambria" w:hAnsi="Cambria"/>
          <w:bCs/>
          <w:i/>
          <w:iCs/>
          <w:color w:val="000000" w:themeColor="text1"/>
          <w:sz w:val="23"/>
          <w:szCs w:val="23"/>
        </w:rPr>
        <w:t xml:space="preserve"> and the length of the delays were unprecedented and most unreasonable.</w:t>
      </w:r>
    </w:p>
    <w:p w14:paraId="74C52A4A" w14:textId="77777777" w:rsidR="002A0B4F" w:rsidRPr="00A23543" w:rsidRDefault="002A0B4F" w:rsidP="002A0B4F">
      <w:pPr>
        <w:ind w:right="-347"/>
        <w:jc w:val="both"/>
        <w:rPr>
          <w:rFonts w:ascii="Cambria" w:hAnsi="Cambria"/>
          <w:bCs/>
          <w:color w:val="000000" w:themeColor="text1"/>
          <w:sz w:val="23"/>
          <w:szCs w:val="23"/>
        </w:rPr>
      </w:pPr>
    </w:p>
    <w:p w14:paraId="2A477200" w14:textId="447793DC" w:rsidR="002A0B4F" w:rsidRPr="00A23543" w:rsidRDefault="002A0B4F" w:rsidP="002A0B4F">
      <w:pPr>
        <w:ind w:right="-347"/>
        <w:jc w:val="both"/>
        <w:rPr>
          <w:rFonts w:ascii="Cambria" w:hAnsi="Cambria"/>
          <w:bCs/>
          <w:color w:val="000000" w:themeColor="text1"/>
          <w:sz w:val="23"/>
          <w:szCs w:val="23"/>
        </w:rPr>
      </w:pPr>
      <w:r w:rsidRPr="00A23543">
        <w:rPr>
          <w:rFonts w:ascii="Cambria" w:hAnsi="Cambria"/>
          <w:bCs/>
          <w:color w:val="000000" w:themeColor="text1"/>
          <w:sz w:val="23"/>
          <w:szCs w:val="23"/>
        </w:rPr>
        <w:t>According to the former Chief Justice, the delay in providing disclosure could be improved by addressing two resourcing issues, namely understaffing in the Disclosure Unit of Tasmania Police and increased funding for the Chief Forensic Psychiatrist:</w:t>
      </w:r>
      <w:r w:rsidRPr="00A23543">
        <w:rPr>
          <w:rStyle w:val="FootnoteReference"/>
          <w:rFonts w:ascii="Cambria" w:hAnsi="Cambria"/>
          <w:bCs/>
          <w:color w:val="000000" w:themeColor="text1"/>
          <w:sz w:val="23"/>
          <w:szCs w:val="23"/>
        </w:rPr>
        <w:footnoteReference w:id="16"/>
      </w:r>
    </w:p>
    <w:p w14:paraId="41E26714" w14:textId="77777777" w:rsidR="002A0B4F" w:rsidRPr="00A23543" w:rsidRDefault="002A0B4F" w:rsidP="002A0B4F">
      <w:pPr>
        <w:ind w:right="-347"/>
        <w:jc w:val="both"/>
        <w:rPr>
          <w:rFonts w:ascii="Cambria" w:hAnsi="Cambria"/>
          <w:bCs/>
          <w:color w:val="000000" w:themeColor="text1"/>
          <w:sz w:val="23"/>
          <w:szCs w:val="23"/>
        </w:rPr>
      </w:pPr>
    </w:p>
    <w:p w14:paraId="04C526C0" w14:textId="6A529249" w:rsidR="002A0B4F" w:rsidRPr="00B24A0F" w:rsidRDefault="002A0B4F" w:rsidP="002A0B4F">
      <w:pPr>
        <w:ind w:left="567" w:right="567"/>
        <w:jc w:val="both"/>
        <w:rPr>
          <w:rFonts w:ascii="Cambria" w:hAnsi="Cambria"/>
          <w:bCs/>
          <w:i/>
          <w:iCs/>
          <w:color w:val="000000" w:themeColor="text1"/>
          <w:sz w:val="23"/>
          <w:szCs w:val="23"/>
        </w:rPr>
      </w:pPr>
      <w:r w:rsidRPr="00B24A0F">
        <w:rPr>
          <w:rFonts w:ascii="Cambria" w:hAnsi="Cambria"/>
          <w:bCs/>
          <w:i/>
          <w:iCs/>
          <w:color w:val="000000" w:themeColor="text1"/>
          <w:sz w:val="23"/>
          <w:szCs w:val="23"/>
        </w:rPr>
        <w:t xml:space="preserve">Another problem concerns delays in the provision of psychiatric reports by the Chief Forensic Psychiatrist or his nominees. Some judges have encountered delays of 7 to 9 months between the making of an order for a report and the provision of the report. Psychiatric reports are frequently needed in cases where there is doubt as to an accused person’s fitness to stand trial, in cases where an accused person has been found unfit to stand trial or not guilty by reason of insanity, or where the Crown seeks a declaration that an offender is a dangerous criminal, as well as for sentencing purposes. </w:t>
      </w:r>
      <w:proofErr w:type="gramStart"/>
      <w:r w:rsidRPr="00B24A0F">
        <w:rPr>
          <w:rFonts w:ascii="Cambria" w:hAnsi="Cambria"/>
          <w:bCs/>
          <w:i/>
          <w:iCs/>
          <w:color w:val="000000" w:themeColor="text1"/>
          <w:sz w:val="23"/>
          <w:szCs w:val="23"/>
        </w:rPr>
        <w:t>Apparently</w:t>
      </w:r>
      <w:proofErr w:type="gramEnd"/>
      <w:r w:rsidRPr="00B24A0F">
        <w:rPr>
          <w:rFonts w:ascii="Cambria" w:hAnsi="Cambria"/>
          <w:bCs/>
          <w:i/>
          <w:iCs/>
          <w:color w:val="000000" w:themeColor="text1"/>
          <w:sz w:val="23"/>
          <w:szCs w:val="23"/>
        </w:rPr>
        <w:t xml:space="preserve"> the Chief Forensic Psychiatrist receives no funding for the provision of such reports even though there are statutory requirements for them to be provided in some situations. The delays are most unfair from the perspectives of both complainants and accused persons, and highly inconvenient for the Court. </w:t>
      </w:r>
    </w:p>
    <w:p w14:paraId="663D59C1" w14:textId="74E92AAE" w:rsidR="002A0B4F" w:rsidRPr="00A23543" w:rsidRDefault="002A0B4F" w:rsidP="002A0B4F">
      <w:pPr>
        <w:ind w:right="-347"/>
        <w:jc w:val="both"/>
        <w:rPr>
          <w:rFonts w:ascii="Cambria" w:hAnsi="Cambria"/>
          <w:bCs/>
          <w:color w:val="000000" w:themeColor="text1"/>
          <w:sz w:val="23"/>
          <w:szCs w:val="23"/>
        </w:rPr>
      </w:pPr>
    </w:p>
    <w:p w14:paraId="09517F66" w14:textId="7249C291" w:rsidR="002A0B4F" w:rsidRPr="00A23543" w:rsidRDefault="002A0B4F" w:rsidP="002A0B4F">
      <w:pPr>
        <w:ind w:right="-347"/>
        <w:jc w:val="both"/>
        <w:rPr>
          <w:rFonts w:ascii="Cambria" w:hAnsi="Cambria"/>
          <w:bCs/>
          <w:color w:val="000000" w:themeColor="text1"/>
          <w:sz w:val="23"/>
          <w:szCs w:val="23"/>
        </w:rPr>
      </w:pPr>
      <w:r w:rsidRPr="00A23543">
        <w:rPr>
          <w:rFonts w:ascii="Cambria" w:hAnsi="Cambria"/>
          <w:bCs/>
          <w:color w:val="000000" w:themeColor="text1"/>
          <w:sz w:val="23"/>
          <w:szCs w:val="23"/>
        </w:rPr>
        <w:t>It is unclear whether either of these recommendations have been acted upon</w:t>
      </w:r>
      <w:r w:rsidR="00740CD7" w:rsidRPr="00A23543">
        <w:rPr>
          <w:rFonts w:ascii="Cambria" w:hAnsi="Cambria"/>
          <w:bCs/>
          <w:color w:val="000000" w:themeColor="text1"/>
          <w:sz w:val="23"/>
          <w:szCs w:val="23"/>
        </w:rPr>
        <w:t xml:space="preserve"> by the State Government</w:t>
      </w:r>
      <w:r w:rsidRPr="00A23543">
        <w:rPr>
          <w:rFonts w:ascii="Cambria" w:hAnsi="Cambria"/>
          <w:bCs/>
          <w:color w:val="000000" w:themeColor="text1"/>
          <w:sz w:val="23"/>
          <w:szCs w:val="23"/>
        </w:rPr>
        <w:t xml:space="preserve">. There is no mention of increased funding in the Chief Psychiatrist’s most recent </w:t>
      </w:r>
      <w:r w:rsidRPr="00A23543">
        <w:rPr>
          <w:rFonts w:ascii="Cambria" w:hAnsi="Cambria"/>
          <w:bCs/>
          <w:color w:val="000000" w:themeColor="text1"/>
          <w:sz w:val="23"/>
          <w:szCs w:val="23"/>
        </w:rPr>
        <w:lastRenderedPageBreak/>
        <w:t>Annual Report</w:t>
      </w:r>
      <w:r w:rsidRPr="00A23543">
        <w:rPr>
          <w:rStyle w:val="FootnoteReference"/>
          <w:rFonts w:ascii="Cambria" w:hAnsi="Cambria"/>
          <w:bCs/>
          <w:color w:val="000000" w:themeColor="text1"/>
          <w:sz w:val="23"/>
          <w:szCs w:val="23"/>
        </w:rPr>
        <w:footnoteReference w:id="17"/>
      </w:r>
      <w:r w:rsidRPr="00A23543">
        <w:rPr>
          <w:rFonts w:ascii="Cambria" w:hAnsi="Cambria"/>
          <w:bCs/>
          <w:color w:val="000000" w:themeColor="text1"/>
          <w:sz w:val="23"/>
          <w:szCs w:val="23"/>
        </w:rPr>
        <w:t xml:space="preserve"> whilst Tasmania Police responded </w:t>
      </w:r>
      <w:r w:rsidR="00740CD7" w:rsidRPr="00A23543">
        <w:rPr>
          <w:rFonts w:ascii="Cambria" w:hAnsi="Cambria"/>
          <w:bCs/>
          <w:color w:val="000000" w:themeColor="text1"/>
          <w:sz w:val="23"/>
          <w:szCs w:val="23"/>
        </w:rPr>
        <w:t xml:space="preserve">publicly to the Chief Justice’s comments by noting in November 2024 </w:t>
      </w:r>
      <w:r w:rsidRPr="00A23543">
        <w:rPr>
          <w:rFonts w:ascii="Cambria" w:hAnsi="Cambria"/>
          <w:bCs/>
          <w:color w:val="000000" w:themeColor="text1"/>
          <w:sz w:val="23"/>
          <w:szCs w:val="23"/>
        </w:rPr>
        <w:t>that it was conducting a statewide review of prosecutorial services</w:t>
      </w:r>
      <w:r w:rsidR="00EA2C89" w:rsidRPr="00A23543">
        <w:rPr>
          <w:rFonts w:ascii="Cambria" w:hAnsi="Cambria"/>
          <w:bCs/>
          <w:color w:val="000000" w:themeColor="text1"/>
          <w:sz w:val="23"/>
          <w:szCs w:val="23"/>
        </w:rPr>
        <w:t>.</w:t>
      </w:r>
      <w:r w:rsidR="00EA2C89" w:rsidRPr="00A23543">
        <w:rPr>
          <w:rStyle w:val="FootnoteReference"/>
          <w:rFonts w:ascii="Cambria" w:hAnsi="Cambria"/>
          <w:bCs/>
          <w:color w:val="000000" w:themeColor="text1"/>
          <w:sz w:val="23"/>
          <w:szCs w:val="23"/>
        </w:rPr>
        <w:footnoteReference w:id="18"/>
      </w:r>
      <w:r w:rsidR="00EA2C89" w:rsidRPr="00A23543">
        <w:rPr>
          <w:rFonts w:ascii="Cambria" w:hAnsi="Cambria"/>
          <w:bCs/>
          <w:color w:val="000000" w:themeColor="text1"/>
          <w:sz w:val="23"/>
          <w:szCs w:val="23"/>
        </w:rPr>
        <w:t xml:space="preserve"> </w:t>
      </w:r>
      <w:r w:rsidRPr="00A23543">
        <w:rPr>
          <w:rFonts w:ascii="Cambria" w:hAnsi="Cambria"/>
          <w:bCs/>
          <w:color w:val="000000" w:themeColor="text1"/>
          <w:sz w:val="23"/>
          <w:szCs w:val="23"/>
        </w:rPr>
        <w:t xml:space="preserve"> </w:t>
      </w:r>
    </w:p>
    <w:p w14:paraId="34F38804" w14:textId="77777777" w:rsidR="00EA2C89" w:rsidRPr="00A23543" w:rsidRDefault="00EA2C89" w:rsidP="00EA2C89">
      <w:pPr>
        <w:ind w:right="-347"/>
        <w:jc w:val="both"/>
        <w:rPr>
          <w:rFonts w:ascii="Cambria" w:hAnsi="Cambria"/>
          <w:bCs/>
          <w:color w:val="000000" w:themeColor="text1"/>
          <w:sz w:val="23"/>
          <w:szCs w:val="23"/>
        </w:rPr>
      </w:pPr>
    </w:p>
    <w:p w14:paraId="4B08354A" w14:textId="69C46AE8" w:rsidR="00F44534" w:rsidRPr="00F44534" w:rsidRDefault="00F44534" w:rsidP="00F44534">
      <w:pPr>
        <w:pStyle w:val="NoSpacing"/>
        <w:jc w:val="both"/>
        <w:rPr>
          <w:rFonts w:ascii="Cambria" w:hAnsi="Cambria"/>
          <w:sz w:val="23"/>
          <w:szCs w:val="23"/>
        </w:rPr>
      </w:pPr>
      <w:r>
        <w:rPr>
          <w:rFonts w:ascii="Cambria" w:hAnsi="Cambria"/>
          <w:sz w:val="23"/>
          <w:szCs w:val="23"/>
        </w:rPr>
        <w:t xml:space="preserve">In summary, we strongly believe that </w:t>
      </w:r>
      <w:r w:rsidRPr="00A23543">
        <w:rPr>
          <w:rFonts w:ascii="Cambria" w:hAnsi="Cambria"/>
          <w:iCs/>
          <w:color w:val="000000" w:themeColor="text1"/>
          <w:sz w:val="23"/>
          <w:szCs w:val="23"/>
        </w:rPr>
        <w:t xml:space="preserve">the </w:t>
      </w:r>
      <w:r w:rsidRPr="00A23543">
        <w:rPr>
          <w:rFonts w:ascii="Cambria" w:hAnsi="Cambria"/>
          <w:i/>
          <w:color w:val="000000" w:themeColor="text1"/>
          <w:sz w:val="23"/>
          <w:szCs w:val="23"/>
        </w:rPr>
        <w:t>Supreme Court Act 1887</w:t>
      </w:r>
      <w:r w:rsidRPr="00A23543">
        <w:rPr>
          <w:rFonts w:ascii="Cambria" w:hAnsi="Cambria"/>
          <w:iCs/>
          <w:color w:val="000000" w:themeColor="text1"/>
          <w:sz w:val="23"/>
          <w:szCs w:val="23"/>
        </w:rPr>
        <w:t xml:space="preserve"> (Tas) </w:t>
      </w:r>
      <w:r>
        <w:rPr>
          <w:rFonts w:ascii="Cambria" w:hAnsi="Cambria"/>
          <w:iCs/>
          <w:color w:val="000000" w:themeColor="text1"/>
          <w:sz w:val="23"/>
          <w:szCs w:val="23"/>
        </w:rPr>
        <w:t xml:space="preserve">should be amended </w:t>
      </w:r>
      <w:r w:rsidRPr="00A23543">
        <w:rPr>
          <w:rFonts w:ascii="Cambria" w:hAnsi="Cambria"/>
          <w:iCs/>
          <w:color w:val="000000" w:themeColor="text1"/>
          <w:sz w:val="23"/>
          <w:szCs w:val="23"/>
        </w:rPr>
        <w:t>so that the number of judges can be increased from the current legislatively prescribed seven (a Chief Justice and six puisne judges).</w:t>
      </w:r>
      <w:r>
        <w:rPr>
          <w:rFonts w:ascii="Cambria" w:hAnsi="Cambria"/>
          <w:iCs/>
          <w:color w:val="000000" w:themeColor="text1"/>
          <w:sz w:val="23"/>
          <w:szCs w:val="23"/>
        </w:rPr>
        <w:t xml:space="preserve"> We also recommend transferring residential tenancy applications from the Magistrates Court to TASCAT and acting on the former Chief Justice’s calls for additional resourcing for the Chief Psychiatrist and the Disclosure Unit of Tasmania Police.  </w:t>
      </w:r>
      <w:r>
        <w:rPr>
          <w:rFonts w:ascii="Cambria" w:hAnsi="Cambria"/>
          <w:sz w:val="23"/>
          <w:szCs w:val="23"/>
        </w:rPr>
        <w:t xml:space="preserve">  </w:t>
      </w:r>
    </w:p>
    <w:p w14:paraId="0773D370" w14:textId="77777777" w:rsidR="00F44534" w:rsidRDefault="00F44534" w:rsidP="001F125A">
      <w:pPr>
        <w:pStyle w:val="NoSpacing"/>
        <w:jc w:val="both"/>
        <w:rPr>
          <w:rFonts w:ascii="Cambria" w:hAnsi="Cambria"/>
          <w:sz w:val="23"/>
          <w:szCs w:val="23"/>
        </w:rPr>
      </w:pPr>
    </w:p>
    <w:p w14:paraId="37F29C26" w14:textId="4789AB0C" w:rsidR="001F125A" w:rsidRPr="00A23543" w:rsidRDefault="001F125A" w:rsidP="001F125A">
      <w:pPr>
        <w:pStyle w:val="NoSpacing"/>
        <w:jc w:val="both"/>
        <w:rPr>
          <w:rFonts w:ascii="Cambria" w:hAnsi="Cambria"/>
          <w:sz w:val="23"/>
          <w:szCs w:val="23"/>
        </w:rPr>
      </w:pPr>
      <w:r w:rsidRPr="00A23543">
        <w:rPr>
          <w:rFonts w:ascii="Cambria" w:hAnsi="Cambria"/>
          <w:sz w:val="23"/>
          <w:szCs w:val="23"/>
        </w:rPr>
        <w:t>If we can be of any further assistance, please do not hesitate to contact us.</w:t>
      </w:r>
    </w:p>
    <w:p w14:paraId="694FA936" w14:textId="77777777" w:rsidR="00B75178" w:rsidRPr="00A23543" w:rsidRDefault="00B75178" w:rsidP="001F125A">
      <w:pPr>
        <w:pStyle w:val="NoSpacing"/>
        <w:jc w:val="both"/>
        <w:rPr>
          <w:rFonts w:ascii="Cambria" w:hAnsi="Cambria"/>
          <w:sz w:val="23"/>
          <w:szCs w:val="23"/>
        </w:rPr>
      </w:pPr>
    </w:p>
    <w:p w14:paraId="1D74E5EA" w14:textId="77777777" w:rsidR="001F125A" w:rsidRPr="00A23543" w:rsidRDefault="001F125A" w:rsidP="001F125A">
      <w:pPr>
        <w:pStyle w:val="NoSpacing"/>
        <w:jc w:val="both"/>
        <w:rPr>
          <w:rFonts w:ascii="Cambria" w:hAnsi="Cambria"/>
          <w:sz w:val="23"/>
          <w:szCs w:val="23"/>
        </w:rPr>
      </w:pPr>
    </w:p>
    <w:p w14:paraId="28A4F4E3" w14:textId="77777777" w:rsidR="001F125A" w:rsidRPr="00A23543" w:rsidRDefault="001F125A" w:rsidP="001F125A">
      <w:pPr>
        <w:pStyle w:val="NoSpacing"/>
        <w:jc w:val="both"/>
        <w:rPr>
          <w:rFonts w:ascii="Cambria" w:hAnsi="Cambria"/>
          <w:sz w:val="23"/>
          <w:szCs w:val="23"/>
        </w:rPr>
      </w:pPr>
      <w:r w:rsidRPr="00A23543">
        <w:rPr>
          <w:rFonts w:ascii="Cambria" w:hAnsi="Cambria"/>
          <w:sz w:val="23"/>
          <w:szCs w:val="23"/>
        </w:rPr>
        <w:t xml:space="preserve">Yours faithfully, </w:t>
      </w:r>
    </w:p>
    <w:p w14:paraId="115E9C85" w14:textId="39A36856" w:rsidR="001F125A" w:rsidRPr="00F44534" w:rsidRDefault="001F125A" w:rsidP="00F44534">
      <w:pPr>
        <w:pStyle w:val="NoSpacing"/>
        <w:jc w:val="both"/>
        <w:rPr>
          <w:rFonts w:ascii="Cambria" w:hAnsi="Cambria"/>
          <w:sz w:val="23"/>
          <w:szCs w:val="23"/>
        </w:rPr>
      </w:pPr>
    </w:p>
    <w:p w14:paraId="75A74F36" w14:textId="12F6525C" w:rsidR="001F125A" w:rsidRPr="00740CD7" w:rsidRDefault="001F125A" w:rsidP="001F125A">
      <w:pPr>
        <w:ind w:right="-347"/>
        <w:jc w:val="both"/>
        <w:rPr>
          <w:rFonts w:ascii="Cambria" w:hAnsi="Cambria"/>
          <w:iCs/>
          <w:color w:val="000000" w:themeColor="text1"/>
        </w:rPr>
      </w:pPr>
      <w:r w:rsidRPr="00740CD7">
        <w:rPr>
          <w:rFonts w:ascii="Cambria" w:hAnsi="Cambria"/>
          <w:iCs/>
          <w:color w:val="000000" w:themeColor="text1"/>
        </w:rPr>
        <w:t>Benedict Bart</w:t>
      </w:r>
      <w:r w:rsidR="00217B23">
        <w:rPr>
          <w:rFonts w:ascii="Cambria" w:hAnsi="Cambria"/>
          <w:iCs/>
          <w:color w:val="000000" w:themeColor="text1"/>
        </w:rPr>
        <w:t>l</w:t>
      </w:r>
    </w:p>
    <w:p w14:paraId="2E96D3F6" w14:textId="421B8ED7" w:rsidR="001F125A" w:rsidRPr="00740CD7" w:rsidRDefault="001F125A" w:rsidP="001F125A">
      <w:pPr>
        <w:pStyle w:val="NoSpacing"/>
        <w:rPr>
          <w:rFonts w:ascii="Cambria" w:hAnsi="Cambria"/>
          <w:sz w:val="24"/>
          <w:szCs w:val="24"/>
        </w:rPr>
      </w:pPr>
      <w:r w:rsidRPr="00740CD7">
        <w:rPr>
          <w:rFonts w:ascii="Cambria" w:hAnsi="Cambria"/>
          <w:sz w:val="24"/>
          <w:szCs w:val="24"/>
        </w:rPr>
        <w:t>Policy Officer</w:t>
      </w:r>
    </w:p>
    <w:p w14:paraId="6B4E5C41" w14:textId="3643967D" w:rsidR="001F125A" w:rsidRPr="00740CD7" w:rsidRDefault="001F125A" w:rsidP="001F125A">
      <w:pPr>
        <w:pStyle w:val="NoSpacing"/>
        <w:pBdr>
          <w:bottom w:val="single" w:sz="6" w:space="1" w:color="auto"/>
        </w:pBdr>
        <w:rPr>
          <w:rFonts w:ascii="Cambria" w:hAnsi="Cambria"/>
          <w:b/>
          <w:bCs/>
          <w:sz w:val="24"/>
          <w:szCs w:val="24"/>
        </w:rPr>
      </w:pPr>
      <w:r w:rsidRPr="00740CD7">
        <w:rPr>
          <w:rFonts w:ascii="Cambria" w:hAnsi="Cambria"/>
          <w:b/>
          <w:bCs/>
          <w:sz w:val="24"/>
          <w:szCs w:val="24"/>
        </w:rPr>
        <w:t>Community Legal Centres Tasmania</w:t>
      </w:r>
    </w:p>
    <w:p w14:paraId="152A059C" w14:textId="77777777" w:rsidR="001F125A" w:rsidRDefault="001F125A" w:rsidP="001F125A">
      <w:pPr>
        <w:pStyle w:val="NoSpacing"/>
        <w:rPr>
          <w:rFonts w:ascii="Cambria" w:hAnsi="Cambria"/>
          <w:b/>
          <w:bCs/>
        </w:rPr>
      </w:pPr>
    </w:p>
    <w:sectPr w:rsidR="001F125A" w:rsidSect="00B75178">
      <w:footerReference w:type="even" r:id="rId16"/>
      <w:footerReference w:type="default" r:id="rId17"/>
      <w:pgSz w:w="11900" w:h="16840"/>
      <w:pgMar w:top="1440" w:right="138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B21C" w14:textId="77777777" w:rsidR="00650B08" w:rsidRDefault="00650B08" w:rsidP="001F125A">
      <w:r>
        <w:separator/>
      </w:r>
    </w:p>
  </w:endnote>
  <w:endnote w:type="continuationSeparator" w:id="0">
    <w:p w14:paraId="0D89151D" w14:textId="77777777" w:rsidR="00650B08" w:rsidRDefault="00650B08" w:rsidP="001F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7300"/>
      <w:docPartObj>
        <w:docPartGallery w:val="Page Numbers (Bottom of Page)"/>
        <w:docPartUnique/>
      </w:docPartObj>
    </w:sdtPr>
    <w:sdtContent>
      <w:p w14:paraId="10508DFE" w14:textId="7F266BF4" w:rsidR="00B75178" w:rsidRDefault="00B75178" w:rsidP="00282C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C1AE82" w14:textId="77777777" w:rsidR="00B75178" w:rsidRDefault="00B75178" w:rsidP="00B75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4597010"/>
      <w:docPartObj>
        <w:docPartGallery w:val="Page Numbers (Bottom of Page)"/>
        <w:docPartUnique/>
      </w:docPartObj>
    </w:sdtPr>
    <w:sdtContent>
      <w:p w14:paraId="41B0A58B" w14:textId="78C8E8F9" w:rsidR="00B75178" w:rsidRDefault="00B75178" w:rsidP="00282C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EF32A75" w14:textId="77777777" w:rsidR="00B75178" w:rsidRDefault="00B75178" w:rsidP="00B751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1D21" w14:textId="77777777" w:rsidR="00650B08" w:rsidRDefault="00650B08" w:rsidP="001F125A">
      <w:r>
        <w:separator/>
      </w:r>
    </w:p>
  </w:footnote>
  <w:footnote w:type="continuationSeparator" w:id="0">
    <w:p w14:paraId="7161AF0C" w14:textId="77777777" w:rsidR="00650B08" w:rsidRDefault="00650B08" w:rsidP="001F125A">
      <w:r>
        <w:continuationSeparator/>
      </w:r>
    </w:p>
  </w:footnote>
  <w:footnote w:id="1">
    <w:p w14:paraId="2B135A20" w14:textId="77777777" w:rsidR="00A23543" w:rsidRPr="00623C1E" w:rsidRDefault="00A23543" w:rsidP="00A23543">
      <w:pPr>
        <w:pStyle w:val="FootnoteText"/>
        <w:rPr>
          <w:rFonts w:ascii="Cambria" w:hAnsi="Cambria"/>
          <w:color w:val="000000" w:themeColor="text1"/>
          <w:sz w:val="20"/>
          <w:szCs w:val="20"/>
        </w:rPr>
      </w:pPr>
      <w:r w:rsidRPr="00623C1E">
        <w:rPr>
          <w:rStyle w:val="FootnoteReference"/>
          <w:rFonts w:ascii="Cambria" w:eastAsiaTheme="majorEastAsia" w:hAnsi="Cambria"/>
          <w:color w:val="000000" w:themeColor="text1"/>
          <w:sz w:val="20"/>
          <w:szCs w:val="20"/>
        </w:rPr>
        <w:footnoteRef/>
      </w:r>
      <w:r w:rsidRPr="00623C1E">
        <w:rPr>
          <w:rFonts w:ascii="Cambria" w:hAnsi="Cambria"/>
          <w:color w:val="000000" w:themeColor="text1"/>
          <w:sz w:val="20"/>
          <w:szCs w:val="20"/>
        </w:rPr>
        <w:t xml:space="preserve"> CLC Tas would like to acknowledge those persons and organisations who gave freely of their time in assisting with our submission. </w:t>
      </w:r>
    </w:p>
  </w:footnote>
  <w:footnote w:id="2">
    <w:p w14:paraId="02467AB3" w14:textId="4081C149" w:rsidR="00120DDD" w:rsidRPr="00A23543" w:rsidRDefault="00120DDD">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Supreme Court of Tasmania, </w:t>
      </w:r>
      <w:r w:rsidRPr="00A23543">
        <w:rPr>
          <w:rFonts w:ascii="Cambria" w:hAnsi="Cambria"/>
          <w:i/>
          <w:iCs/>
          <w:sz w:val="20"/>
          <w:szCs w:val="20"/>
        </w:rPr>
        <w:t>Annual Report 2015-16</w:t>
      </w:r>
      <w:r w:rsidRPr="00A23543">
        <w:rPr>
          <w:rFonts w:ascii="Cambria" w:hAnsi="Cambria"/>
          <w:sz w:val="20"/>
          <w:szCs w:val="20"/>
        </w:rPr>
        <w:t xml:space="preserve"> (March 2016), 2.</w:t>
      </w:r>
    </w:p>
  </w:footnote>
  <w:footnote w:id="3">
    <w:p w14:paraId="1DDAEE34" w14:textId="53254335" w:rsidR="00B75178" w:rsidRPr="00A23543" w:rsidRDefault="00B75178">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Supreme Court of Tasmania, </w:t>
      </w:r>
      <w:r w:rsidRPr="00A23543">
        <w:rPr>
          <w:rFonts w:ascii="Cambria" w:hAnsi="Cambria"/>
          <w:i/>
          <w:iCs/>
          <w:sz w:val="20"/>
          <w:szCs w:val="20"/>
        </w:rPr>
        <w:t>Annual Report 2024-25</w:t>
      </w:r>
      <w:r w:rsidRPr="00A23543">
        <w:rPr>
          <w:rFonts w:ascii="Cambria" w:hAnsi="Cambria"/>
          <w:sz w:val="20"/>
          <w:szCs w:val="20"/>
        </w:rPr>
        <w:t xml:space="preserve"> (October 2025), 2. </w:t>
      </w:r>
    </w:p>
  </w:footnote>
  <w:footnote w:id="4">
    <w:p w14:paraId="1263333A" w14:textId="48FE4A23" w:rsidR="00740CD7" w:rsidRPr="00A23543" w:rsidRDefault="00740CD7">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Editorial, ‘Court backlog reform bill’, </w:t>
      </w:r>
      <w:r w:rsidRPr="00A23543">
        <w:rPr>
          <w:rFonts w:ascii="Cambria" w:hAnsi="Cambria"/>
          <w:i/>
          <w:iCs/>
          <w:sz w:val="20"/>
          <w:szCs w:val="20"/>
        </w:rPr>
        <w:t>The Mercury</w:t>
      </w:r>
      <w:r w:rsidRPr="00A23543">
        <w:rPr>
          <w:rFonts w:ascii="Cambria" w:hAnsi="Cambria"/>
          <w:sz w:val="20"/>
          <w:szCs w:val="20"/>
        </w:rPr>
        <w:t xml:space="preserve">, 16 January 2026, 18. </w:t>
      </w:r>
    </w:p>
  </w:footnote>
  <w:footnote w:id="5">
    <w:p w14:paraId="3B1E4E05" w14:textId="77777777" w:rsidR="00D90352" w:rsidRPr="00A23543" w:rsidRDefault="00D90352" w:rsidP="00D90352">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Productivity Commission, ‘Report on Government Services 2024: Corrective Services’, </w:t>
      </w:r>
      <w:r w:rsidRPr="00A23543">
        <w:rPr>
          <w:rStyle w:val="Emphasis"/>
          <w:rFonts w:ascii="Cambria" w:hAnsi="Cambria"/>
          <w:sz w:val="20"/>
          <w:szCs w:val="20"/>
        </w:rPr>
        <w:t>Report on Government Services</w:t>
      </w:r>
      <w:r w:rsidRPr="00A23543">
        <w:rPr>
          <w:rFonts w:ascii="Cambria" w:hAnsi="Cambria"/>
          <w:sz w:val="20"/>
          <w:szCs w:val="20"/>
        </w:rPr>
        <w:t xml:space="preserve"> (Web Page, 2024) </w:t>
      </w:r>
      <w:hyperlink r:id="rId1" w:tgtFrame="_new" w:history="1">
        <w:r w:rsidRPr="00A23543">
          <w:rPr>
            <w:rStyle w:val="Hyperlink"/>
            <w:rFonts w:ascii="Cambria" w:hAnsi="Cambria"/>
            <w:sz w:val="20"/>
            <w:szCs w:val="20"/>
          </w:rPr>
          <w:t>https://www.pc.gov.au/ongoing/report-on-government-services/justice/corrective-services/</w:t>
        </w:r>
      </w:hyperlink>
    </w:p>
  </w:footnote>
  <w:footnote w:id="6">
    <w:p w14:paraId="3C7C1D81" w14:textId="0DBDE6BD" w:rsidR="00020EA6" w:rsidRPr="00A23543" w:rsidRDefault="00020EA6">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The Victorian outlier in 2020-21 and 2021-22 was the result of COVID-19 lockdowns and other restrictions which</w:t>
      </w:r>
      <w:r w:rsidR="00566C35" w:rsidRPr="00A23543">
        <w:rPr>
          <w:rFonts w:ascii="Cambria" w:hAnsi="Cambria"/>
          <w:sz w:val="20"/>
          <w:szCs w:val="20"/>
        </w:rPr>
        <w:t xml:space="preserve"> </w:t>
      </w:r>
      <w:r w:rsidRPr="00A23543">
        <w:rPr>
          <w:rFonts w:ascii="Cambria" w:hAnsi="Cambria"/>
          <w:sz w:val="20"/>
          <w:szCs w:val="20"/>
        </w:rPr>
        <w:t xml:space="preserve">impacted in-person court appearances and resulted in online-only cases able to be heard: Magistrates’ Court of Victoria, </w:t>
      </w:r>
      <w:r w:rsidRPr="00A23543">
        <w:rPr>
          <w:rStyle w:val="Emphasis"/>
          <w:rFonts w:ascii="Cambria" w:hAnsi="Cambria"/>
          <w:sz w:val="20"/>
          <w:szCs w:val="20"/>
        </w:rPr>
        <w:t>Annual Report 2021–22</w:t>
      </w:r>
      <w:r w:rsidRPr="00A23543">
        <w:rPr>
          <w:rFonts w:ascii="Cambria" w:hAnsi="Cambria"/>
          <w:sz w:val="20"/>
          <w:szCs w:val="20"/>
        </w:rPr>
        <w:t xml:space="preserve"> (Report, 2022) </w:t>
      </w:r>
      <w:hyperlink r:id="rId2" w:history="1">
        <w:r w:rsidRPr="00A23543">
          <w:rPr>
            <w:rStyle w:val="Hyperlink"/>
            <w:rFonts w:ascii="Cambria" w:hAnsi="Cambria"/>
            <w:sz w:val="20"/>
            <w:szCs w:val="20"/>
          </w:rPr>
          <w:t>https://www.mcv.vic.gov.au/news-and-resources/court-data</w:t>
        </w:r>
      </w:hyperlink>
      <w:r w:rsidR="00566C35" w:rsidRPr="00A23543">
        <w:rPr>
          <w:rFonts w:ascii="Cambria" w:hAnsi="Cambria"/>
          <w:sz w:val="20"/>
          <w:szCs w:val="20"/>
        </w:rPr>
        <w:t xml:space="preserve"> </w:t>
      </w:r>
      <w:r w:rsidRPr="00A23543">
        <w:rPr>
          <w:rFonts w:ascii="Cambria" w:hAnsi="Cambria"/>
          <w:sz w:val="20"/>
          <w:szCs w:val="20"/>
        </w:rPr>
        <w:t xml:space="preserve">Also see Bridget Rollason, ‘Victorian courts plagued by delays as tens of thousands of criminal cases wait to be heard’, </w:t>
      </w:r>
      <w:r w:rsidRPr="00A23543">
        <w:rPr>
          <w:rFonts w:ascii="Cambria" w:hAnsi="Cambria"/>
          <w:i/>
          <w:iCs/>
          <w:sz w:val="20"/>
          <w:szCs w:val="20"/>
        </w:rPr>
        <w:t>Australian Broadcasting Corporation</w:t>
      </w:r>
      <w:r w:rsidRPr="00A23543">
        <w:rPr>
          <w:rFonts w:ascii="Cambria" w:hAnsi="Cambria"/>
          <w:sz w:val="20"/>
          <w:szCs w:val="20"/>
        </w:rPr>
        <w:t xml:space="preserve">, 7 February 2023. As found at </w:t>
      </w:r>
      <w:hyperlink r:id="rId3" w:history="1">
        <w:r w:rsidRPr="00A23543">
          <w:rPr>
            <w:rStyle w:val="Hyperlink"/>
            <w:rFonts w:ascii="Cambria" w:hAnsi="Cambria"/>
            <w:sz w:val="20"/>
            <w:szCs w:val="20"/>
          </w:rPr>
          <w:t>https://www.abc.net.au/news/2023-02-08/victorias-court-backlog-as-thousands-of-cases-delayed/101942714</w:t>
        </w:r>
      </w:hyperlink>
      <w:r w:rsidRPr="00A23543">
        <w:rPr>
          <w:rFonts w:ascii="Cambria" w:hAnsi="Cambria"/>
          <w:sz w:val="20"/>
          <w:szCs w:val="20"/>
        </w:rPr>
        <w:t xml:space="preserve"> (accessed 12 April 2025).   </w:t>
      </w:r>
    </w:p>
  </w:footnote>
  <w:footnote w:id="7">
    <w:p w14:paraId="1DB9FB68" w14:textId="27C8887A" w:rsidR="00B75178" w:rsidRPr="00A23543" w:rsidRDefault="00B75178">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Section 2 of the </w:t>
      </w:r>
      <w:r w:rsidRPr="00A23543">
        <w:rPr>
          <w:rFonts w:ascii="Cambria" w:hAnsi="Cambria"/>
          <w:i/>
          <w:iCs/>
          <w:sz w:val="20"/>
          <w:szCs w:val="20"/>
        </w:rPr>
        <w:t>Supreme Court Act 1887</w:t>
      </w:r>
      <w:r w:rsidRPr="00A23543">
        <w:rPr>
          <w:rFonts w:ascii="Cambria" w:hAnsi="Cambria"/>
          <w:sz w:val="20"/>
          <w:szCs w:val="20"/>
        </w:rPr>
        <w:t xml:space="preserve"> (Tas). </w:t>
      </w:r>
    </w:p>
  </w:footnote>
  <w:footnote w:id="8">
    <w:p w14:paraId="1E64C7CD" w14:textId="6B83DC80" w:rsidR="00B75178" w:rsidRPr="00A23543" w:rsidRDefault="00B75178">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Supreme Court of Tasmania, </w:t>
      </w:r>
      <w:r w:rsidRPr="00A23543">
        <w:rPr>
          <w:rStyle w:val="Emphasis"/>
          <w:rFonts w:ascii="Cambria" w:hAnsi="Cambria"/>
          <w:sz w:val="20"/>
          <w:szCs w:val="20"/>
        </w:rPr>
        <w:t>Annual Report 2024–2025</w:t>
      </w:r>
      <w:r w:rsidRPr="00A23543">
        <w:rPr>
          <w:rFonts w:ascii="Cambria" w:hAnsi="Cambria"/>
          <w:sz w:val="20"/>
          <w:szCs w:val="20"/>
        </w:rPr>
        <w:t xml:space="preserve"> (Report, 2025), 4. </w:t>
      </w:r>
    </w:p>
  </w:footnote>
  <w:footnote w:id="9">
    <w:p w14:paraId="4B2AC6FA" w14:textId="55797858" w:rsidR="002A0B4F" w:rsidRPr="00A23543" w:rsidRDefault="002A0B4F">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Tenants’ Union of Tasmania, </w:t>
      </w:r>
      <w:r w:rsidRPr="00A23543">
        <w:rPr>
          <w:rFonts w:ascii="Cambria" w:hAnsi="Cambria"/>
          <w:i/>
          <w:iCs/>
          <w:sz w:val="20"/>
          <w:szCs w:val="20"/>
        </w:rPr>
        <w:t>Tenancy matters! The case for transferring tenancy cases from the Magistrates Court to TASCAT</w:t>
      </w:r>
      <w:r w:rsidRPr="00A23543">
        <w:rPr>
          <w:rFonts w:ascii="Cambria" w:hAnsi="Cambria"/>
          <w:sz w:val="20"/>
          <w:szCs w:val="20"/>
        </w:rPr>
        <w:t xml:space="preserve"> (August 2024). As found at </w:t>
      </w:r>
      <w:hyperlink r:id="rId4" w:history="1">
        <w:r w:rsidRPr="00A23543">
          <w:rPr>
            <w:rStyle w:val="Hyperlink"/>
            <w:rFonts w:ascii="Cambria" w:hAnsi="Cambria"/>
            <w:sz w:val="20"/>
            <w:szCs w:val="20"/>
          </w:rPr>
          <w:t>https://tutas.org.au/tenancy-matters-report/</w:t>
        </w:r>
      </w:hyperlink>
      <w:r w:rsidRPr="00A23543">
        <w:rPr>
          <w:rFonts w:ascii="Cambria" w:hAnsi="Cambria"/>
          <w:sz w:val="20"/>
          <w:szCs w:val="20"/>
        </w:rPr>
        <w:t xml:space="preserve"> (accessed 13 April 2026). </w:t>
      </w:r>
    </w:p>
  </w:footnote>
  <w:footnote w:id="10">
    <w:p w14:paraId="0B58EB5B" w14:textId="3A2EE57C" w:rsidR="002A0B4F" w:rsidRPr="00A23543" w:rsidRDefault="002A0B4F">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w:t>
      </w:r>
      <w:r w:rsidR="00F44534">
        <w:rPr>
          <w:rFonts w:ascii="Cambria" w:hAnsi="Cambria"/>
          <w:sz w:val="20"/>
          <w:szCs w:val="20"/>
        </w:rPr>
        <w:t>Ibid., 3</w:t>
      </w:r>
      <w:r w:rsidRPr="00A23543">
        <w:rPr>
          <w:rFonts w:ascii="Cambria" w:hAnsi="Cambria"/>
          <w:sz w:val="20"/>
          <w:szCs w:val="20"/>
        </w:rPr>
        <w:t>.</w:t>
      </w:r>
    </w:p>
  </w:footnote>
  <w:footnote w:id="11">
    <w:p w14:paraId="32D4E98E" w14:textId="15170DBA" w:rsidR="002A0B4F" w:rsidRPr="00A23543" w:rsidRDefault="002A0B4F">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w:t>
      </w:r>
      <w:r w:rsidR="00F44534">
        <w:rPr>
          <w:rFonts w:ascii="Cambria" w:hAnsi="Cambria"/>
          <w:sz w:val="20"/>
          <w:szCs w:val="20"/>
        </w:rPr>
        <w:t>Ibid.,</w:t>
      </w:r>
      <w:r w:rsidRPr="00A23543">
        <w:rPr>
          <w:rFonts w:ascii="Cambria" w:hAnsi="Cambria"/>
          <w:sz w:val="20"/>
          <w:szCs w:val="20"/>
        </w:rPr>
        <w:t xml:space="preserve"> 45-46. </w:t>
      </w:r>
    </w:p>
  </w:footnote>
  <w:footnote w:id="12">
    <w:p w14:paraId="5DE9FDB5" w14:textId="77777777" w:rsidR="002A0B4F" w:rsidRPr="00A23543" w:rsidRDefault="002A0B4F" w:rsidP="002A0B4F">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Magistrates Court of Tasmania, </w:t>
      </w:r>
      <w:r w:rsidRPr="00A23543">
        <w:rPr>
          <w:rFonts w:ascii="Cambria" w:hAnsi="Cambria"/>
          <w:i/>
          <w:iCs/>
          <w:sz w:val="20"/>
          <w:szCs w:val="20"/>
        </w:rPr>
        <w:t>Annual Report 2024-25</w:t>
      </w:r>
      <w:r w:rsidRPr="00A23543">
        <w:rPr>
          <w:rFonts w:ascii="Cambria" w:hAnsi="Cambria"/>
          <w:sz w:val="20"/>
          <w:szCs w:val="20"/>
        </w:rPr>
        <w:t xml:space="preserve"> (October 2025), 26.</w:t>
      </w:r>
    </w:p>
  </w:footnote>
  <w:footnote w:id="13">
    <w:p w14:paraId="4CD8F00D" w14:textId="30766021" w:rsidR="002A0B4F" w:rsidRPr="00A23543" w:rsidRDefault="002A0B4F">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Tenants’ Union of Tasmania, </w:t>
      </w:r>
      <w:r w:rsidRPr="00A23543">
        <w:rPr>
          <w:rFonts w:ascii="Cambria" w:hAnsi="Cambria"/>
          <w:i/>
          <w:iCs/>
          <w:sz w:val="20"/>
          <w:szCs w:val="20"/>
        </w:rPr>
        <w:t>Tenancy matters! The case for transferring tenancy cases from the Magistrates Court to TASCAT</w:t>
      </w:r>
      <w:r w:rsidRPr="00A23543">
        <w:rPr>
          <w:rFonts w:ascii="Cambria" w:hAnsi="Cambria"/>
          <w:sz w:val="20"/>
          <w:szCs w:val="20"/>
        </w:rPr>
        <w:t xml:space="preserve"> (August 2024), 46-47. </w:t>
      </w:r>
    </w:p>
  </w:footnote>
  <w:footnote w:id="14">
    <w:p w14:paraId="5127E6D6" w14:textId="4B1ADA72" w:rsidR="002A0B4F" w:rsidRPr="00A23543" w:rsidRDefault="002A0B4F">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Nick Clark, ‘Ex-cop yet to plea over child abuse material’, </w:t>
      </w:r>
      <w:r w:rsidRPr="00A23543">
        <w:rPr>
          <w:rFonts w:ascii="Cambria" w:hAnsi="Cambria"/>
          <w:i/>
          <w:iCs/>
          <w:sz w:val="20"/>
          <w:szCs w:val="20"/>
        </w:rPr>
        <w:t>The Mercury</w:t>
      </w:r>
      <w:r w:rsidRPr="00A23543">
        <w:rPr>
          <w:rFonts w:ascii="Cambria" w:hAnsi="Cambria"/>
          <w:sz w:val="20"/>
          <w:szCs w:val="20"/>
        </w:rPr>
        <w:t xml:space="preserve">, 15 October 2025 at 2. </w:t>
      </w:r>
    </w:p>
  </w:footnote>
  <w:footnote w:id="15">
    <w:p w14:paraId="14A1CBE4" w14:textId="48880DF3" w:rsidR="002A0B4F" w:rsidRPr="00A23543" w:rsidRDefault="002A0B4F">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Supreme Court of Tasmania, </w:t>
      </w:r>
      <w:r w:rsidRPr="00A23543">
        <w:rPr>
          <w:rFonts w:ascii="Cambria" w:hAnsi="Cambria"/>
          <w:i/>
          <w:iCs/>
          <w:sz w:val="20"/>
          <w:szCs w:val="20"/>
        </w:rPr>
        <w:t>Annual Report 2023-24</w:t>
      </w:r>
      <w:r w:rsidRPr="00A23543">
        <w:rPr>
          <w:rFonts w:ascii="Cambria" w:hAnsi="Cambria"/>
          <w:sz w:val="20"/>
          <w:szCs w:val="20"/>
        </w:rPr>
        <w:t xml:space="preserve"> (October 2025), 2.</w:t>
      </w:r>
    </w:p>
  </w:footnote>
  <w:footnote w:id="16">
    <w:p w14:paraId="7C6DFF97" w14:textId="5E438836" w:rsidR="002A0B4F" w:rsidRPr="00A23543" w:rsidRDefault="002A0B4F">
      <w:pPr>
        <w:pStyle w:val="FootnoteText"/>
        <w:rPr>
          <w:rFonts w:ascii="Cambria" w:hAnsi="Cambria"/>
          <w:sz w:val="20"/>
          <w:szCs w:val="20"/>
        </w:rPr>
      </w:pPr>
      <w:r w:rsidRPr="00A23543">
        <w:rPr>
          <w:rStyle w:val="FootnoteReference"/>
          <w:rFonts w:ascii="Cambria" w:hAnsi="Cambria"/>
          <w:sz w:val="20"/>
          <w:szCs w:val="20"/>
        </w:rPr>
        <w:footnoteRef/>
      </w:r>
      <w:r w:rsidRPr="00A23543">
        <w:rPr>
          <w:rFonts w:ascii="Cambria" w:hAnsi="Cambria"/>
          <w:sz w:val="20"/>
          <w:szCs w:val="20"/>
        </w:rPr>
        <w:t xml:space="preserve"> Supreme Court of Tasmania, </w:t>
      </w:r>
      <w:r w:rsidRPr="00A23543">
        <w:rPr>
          <w:rFonts w:ascii="Cambria" w:hAnsi="Cambria"/>
          <w:i/>
          <w:iCs/>
          <w:sz w:val="20"/>
          <w:szCs w:val="20"/>
        </w:rPr>
        <w:t>Annual Report 2023-24</w:t>
      </w:r>
      <w:r w:rsidRPr="00A23543">
        <w:rPr>
          <w:rFonts w:ascii="Cambria" w:hAnsi="Cambria"/>
          <w:sz w:val="20"/>
          <w:szCs w:val="20"/>
        </w:rPr>
        <w:t xml:space="preserve"> (October 2025), 4.</w:t>
      </w:r>
    </w:p>
  </w:footnote>
  <w:footnote w:id="17">
    <w:p w14:paraId="6B6C036F" w14:textId="0EB41A70" w:rsidR="002A0B4F" w:rsidRPr="00F44534" w:rsidRDefault="002A0B4F">
      <w:pPr>
        <w:pStyle w:val="FootnoteText"/>
        <w:rPr>
          <w:rFonts w:ascii="Cambria" w:hAnsi="Cambria"/>
          <w:sz w:val="20"/>
          <w:szCs w:val="20"/>
        </w:rPr>
      </w:pPr>
      <w:r w:rsidRPr="00F44534">
        <w:rPr>
          <w:rStyle w:val="FootnoteReference"/>
          <w:rFonts w:ascii="Cambria" w:hAnsi="Cambria"/>
          <w:sz w:val="20"/>
          <w:szCs w:val="20"/>
        </w:rPr>
        <w:footnoteRef/>
      </w:r>
      <w:r w:rsidRPr="00F44534">
        <w:rPr>
          <w:rFonts w:ascii="Cambria" w:hAnsi="Cambria"/>
          <w:sz w:val="20"/>
          <w:szCs w:val="20"/>
        </w:rPr>
        <w:t xml:space="preserve"> Office of the Chief Psychiatrist, </w:t>
      </w:r>
      <w:r w:rsidRPr="00F44534">
        <w:rPr>
          <w:rFonts w:ascii="Cambria" w:hAnsi="Cambria"/>
          <w:i/>
          <w:iCs/>
          <w:sz w:val="20"/>
          <w:szCs w:val="20"/>
        </w:rPr>
        <w:t>Annual Report 2024-25</w:t>
      </w:r>
      <w:r w:rsidRPr="00F44534">
        <w:rPr>
          <w:rFonts w:ascii="Cambria" w:hAnsi="Cambria"/>
          <w:sz w:val="20"/>
          <w:szCs w:val="20"/>
        </w:rPr>
        <w:t xml:space="preserve"> (September 2025). As found at </w:t>
      </w:r>
      <w:hyperlink r:id="rId5" w:history="1">
        <w:r w:rsidRPr="00F44534">
          <w:rPr>
            <w:rStyle w:val="Hyperlink"/>
            <w:rFonts w:ascii="Cambria" w:hAnsi="Cambria"/>
            <w:sz w:val="20"/>
            <w:szCs w:val="20"/>
          </w:rPr>
          <w:t>https://www.health.tas.gov.au/sites/default/files/2025-11/chief_psychiatrist_annual_report_2024-25.pdf</w:t>
        </w:r>
      </w:hyperlink>
      <w:r w:rsidRPr="00F44534">
        <w:rPr>
          <w:rFonts w:ascii="Cambria" w:hAnsi="Cambria"/>
          <w:sz w:val="20"/>
          <w:szCs w:val="20"/>
        </w:rPr>
        <w:t xml:space="preserve"> (accessed 13 April 2026). </w:t>
      </w:r>
    </w:p>
  </w:footnote>
  <w:footnote w:id="18">
    <w:p w14:paraId="45C95659" w14:textId="33798D83" w:rsidR="00EA2C89" w:rsidRDefault="00EA2C89">
      <w:pPr>
        <w:pStyle w:val="FootnoteText"/>
      </w:pPr>
      <w:r w:rsidRPr="00F44534">
        <w:rPr>
          <w:rStyle w:val="FootnoteReference"/>
          <w:rFonts w:ascii="Cambria" w:hAnsi="Cambria"/>
          <w:sz w:val="20"/>
          <w:szCs w:val="20"/>
        </w:rPr>
        <w:footnoteRef/>
      </w:r>
      <w:r w:rsidRPr="00F44534">
        <w:rPr>
          <w:rFonts w:ascii="Cambria" w:hAnsi="Cambria"/>
          <w:sz w:val="20"/>
          <w:szCs w:val="20"/>
        </w:rPr>
        <w:t xml:space="preserve"> Jano Gibson, ‘Tasmania’s chief justice blasts “unacceptable” delays in police paperwork as court faces “unprecedented” backlog’, </w:t>
      </w:r>
      <w:r w:rsidRPr="00F44534">
        <w:rPr>
          <w:rFonts w:ascii="Cambria" w:hAnsi="Cambria"/>
          <w:i/>
          <w:iCs/>
          <w:sz w:val="20"/>
          <w:szCs w:val="20"/>
        </w:rPr>
        <w:t>Australian Broadcasting Corporation</w:t>
      </w:r>
      <w:r w:rsidRPr="00F44534">
        <w:rPr>
          <w:rFonts w:ascii="Cambria" w:hAnsi="Cambria"/>
          <w:sz w:val="20"/>
          <w:szCs w:val="20"/>
        </w:rPr>
        <w:t xml:space="preserve">, 28 November 2024. As found at </w:t>
      </w:r>
      <w:hyperlink r:id="rId6" w:history="1">
        <w:r w:rsidRPr="00F44534">
          <w:rPr>
            <w:rStyle w:val="Hyperlink"/>
            <w:rFonts w:ascii="Cambria" w:hAnsi="Cambria"/>
            <w:sz w:val="20"/>
            <w:szCs w:val="20"/>
          </w:rPr>
          <w:t>https://www.abc.net.au/news/2024-11-29/tasmania-supreme-court-backlog-slammed-by-chief-justice/104659680</w:t>
        </w:r>
      </w:hyperlink>
      <w:r w:rsidRPr="00F44534">
        <w:rPr>
          <w:rFonts w:ascii="Cambria" w:hAnsi="Cambria"/>
          <w:sz w:val="20"/>
          <w:szCs w:val="20"/>
        </w:rPr>
        <w:t xml:space="preserve"> </w:t>
      </w:r>
      <w:r w:rsidR="00F44534" w:rsidRPr="00F44534">
        <w:rPr>
          <w:rFonts w:ascii="Cambria" w:hAnsi="Cambria"/>
          <w:sz w:val="20"/>
          <w:szCs w:val="20"/>
        </w:rPr>
        <w:t>(accessed 13 April 2026).</w:t>
      </w:r>
      <w:r w:rsidR="00F4453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CE6"/>
    <w:multiLevelType w:val="hybridMultilevel"/>
    <w:tmpl w:val="48D21EA4"/>
    <w:lvl w:ilvl="0" w:tplc="8C94A924">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40EB8"/>
    <w:multiLevelType w:val="multilevel"/>
    <w:tmpl w:val="D6E6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01DFD"/>
    <w:multiLevelType w:val="multilevel"/>
    <w:tmpl w:val="370A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12940"/>
    <w:multiLevelType w:val="multilevel"/>
    <w:tmpl w:val="5604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E3885"/>
    <w:multiLevelType w:val="multilevel"/>
    <w:tmpl w:val="0A0A91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E646CB2"/>
    <w:multiLevelType w:val="hybridMultilevel"/>
    <w:tmpl w:val="6CE62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016F4"/>
    <w:multiLevelType w:val="multilevel"/>
    <w:tmpl w:val="78E0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21309"/>
    <w:multiLevelType w:val="multilevel"/>
    <w:tmpl w:val="E67C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77B34"/>
    <w:multiLevelType w:val="multilevel"/>
    <w:tmpl w:val="AA5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0660E"/>
    <w:multiLevelType w:val="multilevel"/>
    <w:tmpl w:val="CF4A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A09B0"/>
    <w:multiLevelType w:val="multilevel"/>
    <w:tmpl w:val="BD0C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D592A"/>
    <w:multiLevelType w:val="multilevel"/>
    <w:tmpl w:val="C86E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32E97"/>
    <w:multiLevelType w:val="multilevel"/>
    <w:tmpl w:val="4622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E0D04"/>
    <w:multiLevelType w:val="multilevel"/>
    <w:tmpl w:val="E9A8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DB362E"/>
    <w:multiLevelType w:val="hybridMultilevel"/>
    <w:tmpl w:val="7352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553CD3"/>
    <w:multiLevelType w:val="multilevel"/>
    <w:tmpl w:val="6194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27CDA"/>
    <w:multiLevelType w:val="multilevel"/>
    <w:tmpl w:val="F11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10D05"/>
    <w:multiLevelType w:val="multilevel"/>
    <w:tmpl w:val="6BBE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41030"/>
    <w:multiLevelType w:val="multilevel"/>
    <w:tmpl w:val="5708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34502"/>
    <w:multiLevelType w:val="multilevel"/>
    <w:tmpl w:val="455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AA3974"/>
    <w:multiLevelType w:val="multilevel"/>
    <w:tmpl w:val="BFFA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630961">
    <w:abstractNumId w:val="0"/>
  </w:num>
  <w:num w:numId="2" w16cid:durableId="1667316174">
    <w:abstractNumId w:val="16"/>
  </w:num>
  <w:num w:numId="3" w16cid:durableId="826285990">
    <w:abstractNumId w:val="9"/>
  </w:num>
  <w:num w:numId="4" w16cid:durableId="936869759">
    <w:abstractNumId w:val="11"/>
  </w:num>
  <w:num w:numId="5" w16cid:durableId="1178621329">
    <w:abstractNumId w:val="1"/>
  </w:num>
  <w:num w:numId="6" w16cid:durableId="832376778">
    <w:abstractNumId w:val="17"/>
  </w:num>
  <w:num w:numId="7" w16cid:durableId="1031763339">
    <w:abstractNumId w:val="20"/>
  </w:num>
  <w:num w:numId="8" w16cid:durableId="851990653">
    <w:abstractNumId w:val="3"/>
  </w:num>
  <w:num w:numId="9" w16cid:durableId="1529443271">
    <w:abstractNumId w:val="19"/>
  </w:num>
  <w:num w:numId="10" w16cid:durableId="205066553">
    <w:abstractNumId w:val="15"/>
  </w:num>
  <w:num w:numId="11" w16cid:durableId="581912854">
    <w:abstractNumId w:val="12"/>
  </w:num>
  <w:num w:numId="12" w16cid:durableId="1107387981">
    <w:abstractNumId w:val="2"/>
  </w:num>
  <w:num w:numId="13" w16cid:durableId="1634871914">
    <w:abstractNumId w:val="10"/>
  </w:num>
  <w:num w:numId="14" w16cid:durableId="431360529">
    <w:abstractNumId w:val="13"/>
  </w:num>
  <w:num w:numId="15" w16cid:durableId="844563120">
    <w:abstractNumId w:val="8"/>
  </w:num>
  <w:num w:numId="16" w16cid:durableId="1255089294">
    <w:abstractNumId w:val="7"/>
  </w:num>
  <w:num w:numId="17" w16cid:durableId="463743320">
    <w:abstractNumId w:val="4"/>
  </w:num>
  <w:num w:numId="18" w16cid:durableId="1096250768">
    <w:abstractNumId w:val="6"/>
  </w:num>
  <w:num w:numId="19" w16cid:durableId="736629276">
    <w:abstractNumId w:val="18"/>
  </w:num>
  <w:num w:numId="20" w16cid:durableId="398794494">
    <w:abstractNumId w:val="5"/>
  </w:num>
  <w:num w:numId="21" w16cid:durableId="3925078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5A"/>
    <w:rsid w:val="00020EA6"/>
    <w:rsid w:val="00024572"/>
    <w:rsid w:val="000E4CF0"/>
    <w:rsid w:val="00120DDD"/>
    <w:rsid w:val="0018177D"/>
    <w:rsid w:val="001F125A"/>
    <w:rsid w:val="00215FCE"/>
    <w:rsid w:val="00217B23"/>
    <w:rsid w:val="002404C8"/>
    <w:rsid w:val="002A0B4F"/>
    <w:rsid w:val="003A1772"/>
    <w:rsid w:val="00424FD3"/>
    <w:rsid w:val="00566C35"/>
    <w:rsid w:val="00650B08"/>
    <w:rsid w:val="00701099"/>
    <w:rsid w:val="00740772"/>
    <w:rsid w:val="00740CD7"/>
    <w:rsid w:val="008447E8"/>
    <w:rsid w:val="00852709"/>
    <w:rsid w:val="00861525"/>
    <w:rsid w:val="008B3DEE"/>
    <w:rsid w:val="008F65B0"/>
    <w:rsid w:val="009F2583"/>
    <w:rsid w:val="00A23543"/>
    <w:rsid w:val="00AF4C11"/>
    <w:rsid w:val="00B24A0F"/>
    <w:rsid w:val="00B75178"/>
    <w:rsid w:val="00C0329E"/>
    <w:rsid w:val="00C170FD"/>
    <w:rsid w:val="00C83509"/>
    <w:rsid w:val="00D90352"/>
    <w:rsid w:val="00E22CAA"/>
    <w:rsid w:val="00EA2C89"/>
    <w:rsid w:val="00EB00C2"/>
    <w:rsid w:val="00F44534"/>
    <w:rsid w:val="00F97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D9003DC"/>
  <w15:chartTrackingRefBased/>
  <w15:docId w15:val="{03A02187-64F4-264F-A3EB-50920865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25A"/>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F12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2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2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2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2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2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2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2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2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2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2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2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2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2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25A"/>
    <w:rPr>
      <w:rFonts w:eastAsiaTheme="majorEastAsia" w:cstheme="majorBidi"/>
      <w:color w:val="272727" w:themeColor="text1" w:themeTint="D8"/>
    </w:rPr>
  </w:style>
  <w:style w:type="paragraph" w:styleId="Title">
    <w:name w:val="Title"/>
    <w:basedOn w:val="Normal"/>
    <w:next w:val="Normal"/>
    <w:link w:val="TitleChar"/>
    <w:uiPriority w:val="10"/>
    <w:qFormat/>
    <w:rsid w:val="001F12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2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2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125A"/>
    <w:rPr>
      <w:i/>
      <w:iCs/>
      <w:color w:val="404040" w:themeColor="text1" w:themeTint="BF"/>
    </w:rPr>
  </w:style>
  <w:style w:type="paragraph" w:styleId="ListParagraph">
    <w:name w:val="List Paragraph"/>
    <w:basedOn w:val="Normal"/>
    <w:uiPriority w:val="34"/>
    <w:qFormat/>
    <w:rsid w:val="001F125A"/>
    <w:pPr>
      <w:ind w:left="720"/>
      <w:contextualSpacing/>
    </w:pPr>
  </w:style>
  <w:style w:type="character" w:styleId="IntenseEmphasis">
    <w:name w:val="Intense Emphasis"/>
    <w:basedOn w:val="DefaultParagraphFont"/>
    <w:uiPriority w:val="21"/>
    <w:qFormat/>
    <w:rsid w:val="001F125A"/>
    <w:rPr>
      <w:i/>
      <w:iCs/>
      <w:color w:val="2F5496" w:themeColor="accent1" w:themeShade="BF"/>
    </w:rPr>
  </w:style>
  <w:style w:type="paragraph" w:styleId="IntenseQuote">
    <w:name w:val="Intense Quote"/>
    <w:basedOn w:val="Normal"/>
    <w:next w:val="Normal"/>
    <w:link w:val="IntenseQuoteChar"/>
    <w:uiPriority w:val="30"/>
    <w:qFormat/>
    <w:rsid w:val="001F1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25A"/>
    <w:rPr>
      <w:i/>
      <w:iCs/>
      <w:color w:val="2F5496" w:themeColor="accent1" w:themeShade="BF"/>
    </w:rPr>
  </w:style>
  <w:style w:type="character" w:styleId="IntenseReference">
    <w:name w:val="Intense Reference"/>
    <w:basedOn w:val="DefaultParagraphFont"/>
    <w:uiPriority w:val="32"/>
    <w:qFormat/>
    <w:rsid w:val="001F125A"/>
    <w:rPr>
      <w:b/>
      <w:bCs/>
      <w:smallCaps/>
      <w:color w:val="2F5496" w:themeColor="accent1" w:themeShade="BF"/>
      <w:spacing w:val="5"/>
    </w:rPr>
  </w:style>
  <w:style w:type="character" w:styleId="FootnoteReference">
    <w:name w:val="footnote reference"/>
    <w:aliases w:val="Footnotes refss,Ref,de nota al pie"/>
    <w:basedOn w:val="DefaultParagraphFont"/>
    <w:uiPriority w:val="99"/>
    <w:unhideWhenUsed/>
    <w:qFormat/>
    <w:rsid w:val="001F125A"/>
    <w:rPr>
      <w:vertAlign w:val="superscript"/>
    </w:rPr>
  </w:style>
  <w:style w:type="paragraph" w:styleId="NoSpacing">
    <w:name w:val="No Spacing"/>
    <w:uiPriority w:val="1"/>
    <w:qFormat/>
    <w:rsid w:val="001F125A"/>
    <w:rPr>
      <w:kern w:val="0"/>
      <w:sz w:val="22"/>
      <w:szCs w:val="22"/>
      <w14:ligatures w14:val="none"/>
    </w:rPr>
  </w:style>
  <w:style w:type="character" w:styleId="Hyperlink">
    <w:name w:val="Hyperlink"/>
    <w:basedOn w:val="DefaultParagraphFont"/>
    <w:uiPriority w:val="99"/>
    <w:unhideWhenUsed/>
    <w:rsid w:val="001F125A"/>
    <w:rPr>
      <w:color w:val="0563C1" w:themeColor="hyperlink"/>
      <w:u w:val="single"/>
    </w:rPr>
  </w:style>
  <w:style w:type="table" w:styleId="TableGrid">
    <w:name w:val="Table Grid"/>
    <w:basedOn w:val="TableNormal"/>
    <w:uiPriority w:val="39"/>
    <w:rsid w:val="001F1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Text,Footnote Text Char Char Char Char Char Char Char,Footnote Text Char Char Char Char Char Char,Footnote Text Char Char Char Char Char Char Char Char Char Char Char Char Char Char Char Char Char,single space Char,single space"/>
    <w:basedOn w:val="Normal"/>
    <w:link w:val="FootnoteTextChar"/>
    <w:uiPriority w:val="99"/>
    <w:unhideWhenUsed/>
    <w:rsid w:val="00D90352"/>
  </w:style>
  <w:style w:type="character" w:customStyle="1" w:styleId="FootnoteTextChar">
    <w:name w:val="Footnote Text Char"/>
    <w:aliases w:val="Footnote Char,Text Char,Footnote Text Char Char Char Char Char Char Char Char,Footnote Text Char Char Char Char Char Char Char1,Footnote Text Char Char Char Char Char Char Char Char Char Char Char Char Char Char Char Char Char Char"/>
    <w:basedOn w:val="DefaultParagraphFont"/>
    <w:link w:val="FootnoteText"/>
    <w:uiPriority w:val="99"/>
    <w:rsid w:val="00D90352"/>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90352"/>
    <w:rPr>
      <w:i/>
      <w:iCs/>
    </w:rPr>
  </w:style>
  <w:style w:type="character" w:styleId="UnresolvedMention">
    <w:name w:val="Unresolved Mention"/>
    <w:basedOn w:val="DefaultParagraphFont"/>
    <w:uiPriority w:val="99"/>
    <w:semiHidden/>
    <w:unhideWhenUsed/>
    <w:rsid w:val="00D90352"/>
    <w:rPr>
      <w:color w:val="605E5C"/>
      <w:shd w:val="clear" w:color="auto" w:fill="E1DFDD"/>
    </w:rPr>
  </w:style>
  <w:style w:type="paragraph" w:styleId="Footer">
    <w:name w:val="footer"/>
    <w:basedOn w:val="Normal"/>
    <w:link w:val="FooterChar"/>
    <w:uiPriority w:val="99"/>
    <w:unhideWhenUsed/>
    <w:rsid w:val="00B75178"/>
    <w:pPr>
      <w:tabs>
        <w:tab w:val="center" w:pos="4513"/>
        <w:tab w:val="right" w:pos="9026"/>
      </w:tabs>
    </w:pPr>
  </w:style>
  <w:style w:type="character" w:customStyle="1" w:styleId="FooterChar">
    <w:name w:val="Footer Char"/>
    <w:basedOn w:val="DefaultParagraphFont"/>
    <w:link w:val="Footer"/>
    <w:uiPriority w:val="99"/>
    <w:rsid w:val="00B75178"/>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B75178"/>
  </w:style>
  <w:style w:type="paragraph" w:styleId="NormalWeb">
    <w:name w:val="Normal (Web)"/>
    <w:basedOn w:val="Normal"/>
    <w:uiPriority w:val="99"/>
    <w:semiHidden/>
    <w:unhideWhenUsed/>
    <w:rsid w:val="00566C35"/>
    <w:pPr>
      <w:spacing w:before="100" w:beforeAutospacing="1" w:after="100" w:afterAutospacing="1"/>
    </w:pPr>
  </w:style>
  <w:style w:type="paragraph" w:customStyle="1" w:styleId="paragraph">
    <w:name w:val="paragraph"/>
    <w:basedOn w:val="Normal"/>
    <w:rsid w:val="002A0B4F"/>
    <w:pPr>
      <w:spacing w:before="100" w:beforeAutospacing="1" w:after="100" w:afterAutospacing="1"/>
    </w:pPr>
  </w:style>
  <w:style w:type="character" w:customStyle="1" w:styleId="normaltextrun">
    <w:name w:val="normaltextrun"/>
    <w:basedOn w:val="DefaultParagraphFont"/>
    <w:rsid w:val="002A0B4F"/>
  </w:style>
  <w:style w:type="character" w:customStyle="1" w:styleId="superscript">
    <w:name w:val="superscript"/>
    <w:basedOn w:val="DefaultParagraphFont"/>
    <w:rsid w:val="002A0B4F"/>
  </w:style>
  <w:style w:type="character" w:customStyle="1" w:styleId="eop">
    <w:name w:val="eop"/>
    <w:basedOn w:val="DefaultParagraphFont"/>
    <w:rsid w:val="002A0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veyoursay@justice.tas.gov.au" TargetMode="Externa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3" Type="http://schemas.openxmlformats.org/officeDocument/2006/relationships/hyperlink" Target="https://www.abc.net.au/news/2023-02-08/victorias-court-backlog-as-thousands-of-cases-delayed/101942714" TargetMode="External"/><Relationship Id="rId2" Type="http://schemas.openxmlformats.org/officeDocument/2006/relationships/hyperlink" Target="https://www.mcv.vic.gov.au/news-and-resources/court-data" TargetMode="External"/><Relationship Id="rId1" Type="http://schemas.openxmlformats.org/officeDocument/2006/relationships/hyperlink" Target="https://www.pc.gov.au/ongoing/report-on-government-services/justice/corrective-services/" TargetMode="External"/><Relationship Id="rId6" Type="http://schemas.openxmlformats.org/officeDocument/2006/relationships/hyperlink" Target="https://www.abc.net.au/news/2024-11-29/tasmania-supreme-court-backlog-slammed-by-chief-justice/104659680" TargetMode="External"/><Relationship Id="rId5" Type="http://schemas.openxmlformats.org/officeDocument/2006/relationships/hyperlink" Target="https://www.health.tas.gov.au/sites/default/files/2025-11/chief_psychiatrist_annual_report_2024-25.pdf" TargetMode="External"/><Relationship Id="rId4" Type="http://schemas.openxmlformats.org/officeDocument/2006/relationships/hyperlink" Target="https://tutas.org.au/tenancy-matters-repor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ben/Desktop/Backlog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ben/Desktop/BacklogTab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ben/Desktop/BacklogTabl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ben/Desktop/BacklogTab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ben/Desktop/BacklogTab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ben/Desktop/BacklogTab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ben/Desktop/BacklogTable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Magistrates</a:t>
            </a:r>
            <a:r>
              <a:rPr lang="en-GB" b="1" baseline="0"/>
              <a:t> Court</a:t>
            </a:r>
          </a:p>
          <a:p>
            <a:pPr>
              <a:defRPr/>
            </a:pPr>
            <a:r>
              <a:rPr lang="en-GB" b="1" baseline="0"/>
              <a:t>Cases finalised &lt;=6 months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Sheet1!$B$210</c:f>
              <c:strCache>
                <c:ptCount val="1"/>
                <c:pt idx="0">
                  <c:v>NSW</c:v>
                </c:pt>
              </c:strCache>
            </c:strRef>
          </c:tx>
          <c:spPr>
            <a:ln w="28575" cap="rnd">
              <a:solidFill>
                <a:schemeClr val="accent1"/>
              </a:solidFill>
              <a:round/>
            </a:ln>
            <a:effectLst/>
          </c:spPr>
          <c:marker>
            <c:symbol val="none"/>
          </c:marker>
          <c:cat>
            <c:strRef>
              <c:f>Sheet1!$A$211:$A$220</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Sheet1!$B$211:$B$220</c:f>
              <c:numCache>
                <c:formatCode>0.0%</c:formatCode>
                <c:ptCount val="10"/>
                <c:pt idx="0">
                  <c:v>0.88900000000000001</c:v>
                </c:pt>
                <c:pt idx="1">
                  <c:v>0.877</c:v>
                </c:pt>
                <c:pt idx="2">
                  <c:v>0.88099999999999989</c:v>
                </c:pt>
                <c:pt idx="3">
                  <c:v>0.88500000000000001</c:v>
                </c:pt>
                <c:pt idx="4">
                  <c:v>0.873</c:v>
                </c:pt>
                <c:pt idx="5">
                  <c:v>0.77800000000000002</c:v>
                </c:pt>
                <c:pt idx="6">
                  <c:v>0.82400000000000007</c:v>
                </c:pt>
                <c:pt idx="7">
                  <c:v>0.79</c:v>
                </c:pt>
                <c:pt idx="8">
                  <c:v>0.80299999999999994</c:v>
                </c:pt>
                <c:pt idx="9">
                  <c:v>0.81099999999999994</c:v>
                </c:pt>
              </c:numCache>
            </c:numRef>
          </c:val>
          <c:smooth val="0"/>
          <c:extLst>
            <c:ext xmlns:c16="http://schemas.microsoft.com/office/drawing/2014/chart" uri="{C3380CC4-5D6E-409C-BE32-E72D297353CC}">
              <c16:uniqueId val="{00000000-325E-864D-86E5-DCD2BEFC970E}"/>
            </c:ext>
          </c:extLst>
        </c:ser>
        <c:ser>
          <c:idx val="1"/>
          <c:order val="1"/>
          <c:tx>
            <c:strRef>
              <c:f>Sheet1!$C$210</c:f>
              <c:strCache>
                <c:ptCount val="1"/>
                <c:pt idx="0">
                  <c:v>Vic</c:v>
                </c:pt>
              </c:strCache>
            </c:strRef>
          </c:tx>
          <c:spPr>
            <a:ln w="28575" cap="rnd">
              <a:solidFill>
                <a:schemeClr val="accent2"/>
              </a:solidFill>
              <a:round/>
            </a:ln>
            <a:effectLst/>
          </c:spPr>
          <c:marker>
            <c:symbol val="none"/>
          </c:marker>
          <c:cat>
            <c:strRef>
              <c:f>Sheet1!$A$211:$A$220</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Sheet1!$C$211:$C$220</c:f>
              <c:numCache>
                <c:formatCode>0.0%</c:formatCode>
                <c:ptCount val="10"/>
                <c:pt idx="0">
                  <c:v>0.8</c:v>
                </c:pt>
                <c:pt idx="1">
                  <c:v>0.755</c:v>
                </c:pt>
                <c:pt idx="2">
                  <c:v>0.747</c:v>
                </c:pt>
                <c:pt idx="3">
                  <c:v>0.70499999999999996</c:v>
                </c:pt>
                <c:pt idx="4">
                  <c:v>0.70099999999999996</c:v>
                </c:pt>
                <c:pt idx="5">
                  <c:v>0.442</c:v>
                </c:pt>
                <c:pt idx="6">
                  <c:v>0.40700000000000003</c:v>
                </c:pt>
                <c:pt idx="7">
                  <c:v>0.51700000000000002</c:v>
                </c:pt>
                <c:pt idx="8">
                  <c:v>0.625</c:v>
                </c:pt>
                <c:pt idx="9">
                  <c:v>0.66700000000000004</c:v>
                </c:pt>
              </c:numCache>
            </c:numRef>
          </c:val>
          <c:smooth val="0"/>
          <c:extLst>
            <c:ext xmlns:c16="http://schemas.microsoft.com/office/drawing/2014/chart" uri="{C3380CC4-5D6E-409C-BE32-E72D297353CC}">
              <c16:uniqueId val="{00000001-325E-864D-86E5-DCD2BEFC970E}"/>
            </c:ext>
          </c:extLst>
        </c:ser>
        <c:ser>
          <c:idx val="2"/>
          <c:order val="2"/>
          <c:tx>
            <c:strRef>
              <c:f>Sheet1!$D$210</c:f>
              <c:strCache>
                <c:ptCount val="1"/>
                <c:pt idx="0">
                  <c:v>Qld</c:v>
                </c:pt>
              </c:strCache>
            </c:strRef>
          </c:tx>
          <c:spPr>
            <a:ln w="28575" cap="rnd">
              <a:solidFill>
                <a:schemeClr val="accent3"/>
              </a:solidFill>
              <a:round/>
            </a:ln>
            <a:effectLst/>
          </c:spPr>
          <c:marker>
            <c:symbol val="none"/>
          </c:marker>
          <c:cat>
            <c:strRef>
              <c:f>Sheet1!$A$211:$A$220</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Sheet1!$D$211:$D$220</c:f>
              <c:numCache>
                <c:formatCode>0.0%</c:formatCode>
                <c:ptCount val="10"/>
                <c:pt idx="0">
                  <c:v>0.86900000000000011</c:v>
                </c:pt>
                <c:pt idx="1">
                  <c:v>0.84099999999999997</c:v>
                </c:pt>
                <c:pt idx="2">
                  <c:v>0.82400000000000007</c:v>
                </c:pt>
                <c:pt idx="3">
                  <c:v>0.83</c:v>
                </c:pt>
                <c:pt idx="4">
                  <c:v>0.80700000000000005</c:v>
                </c:pt>
                <c:pt idx="5">
                  <c:v>0.73799999999999999</c:v>
                </c:pt>
                <c:pt idx="6">
                  <c:v>0.752</c:v>
                </c:pt>
                <c:pt idx="7">
                  <c:v>0.78</c:v>
                </c:pt>
                <c:pt idx="8">
                  <c:v>0.7659999999999999</c:v>
                </c:pt>
                <c:pt idx="9">
                  <c:v>0.74400000000000011</c:v>
                </c:pt>
              </c:numCache>
            </c:numRef>
          </c:val>
          <c:smooth val="0"/>
          <c:extLst>
            <c:ext xmlns:c16="http://schemas.microsoft.com/office/drawing/2014/chart" uri="{C3380CC4-5D6E-409C-BE32-E72D297353CC}">
              <c16:uniqueId val="{00000002-325E-864D-86E5-DCD2BEFC970E}"/>
            </c:ext>
          </c:extLst>
        </c:ser>
        <c:ser>
          <c:idx val="3"/>
          <c:order val="3"/>
          <c:tx>
            <c:strRef>
              <c:f>Sheet1!$E$210</c:f>
              <c:strCache>
                <c:ptCount val="1"/>
                <c:pt idx="0">
                  <c:v>WA</c:v>
                </c:pt>
              </c:strCache>
            </c:strRef>
          </c:tx>
          <c:spPr>
            <a:ln w="28575" cap="rnd">
              <a:solidFill>
                <a:schemeClr val="accent4"/>
              </a:solidFill>
              <a:round/>
            </a:ln>
            <a:effectLst/>
          </c:spPr>
          <c:marker>
            <c:symbol val="none"/>
          </c:marker>
          <c:cat>
            <c:strRef>
              <c:f>Sheet1!$A$211:$A$220</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Sheet1!$E$211:$E$220</c:f>
              <c:numCache>
                <c:formatCode>0.0%</c:formatCode>
                <c:ptCount val="10"/>
                <c:pt idx="0">
                  <c:v>0.875</c:v>
                </c:pt>
                <c:pt idx="1">
                  <c:v>0.82900000000000007</c:v>
                </c:pt>
                <c:pt idx="2">
                  <c:v>0.85799999999999998</c:v>
                </c:pt>
                <c:pt idx="3">
                  <c:v>0.8640000000000001</c:v>
                </c:pt>
                <c:pt idx="4">
                  <c:v>0.86199999999999999</c:v>
                </c:pt>
                <c:pt idx="5">
                  <c:v>0.85299999999999998</c:v>
                </c:pt>
                <c:pt idx="6">
                  <c:v>0.83599999999999997</c:v>
                </c:pt>
                <c:pt idx="7">
                  <c:v>0.8590000000000001</c:v>
                </c:pt>
                <c:pt idx="8">
                  <c:v>0.85400000000000009</c:v>
                </c:pt>
                <c:pt idx="9">
                  <c:v>0.83200000000000007</c:v>
                </c:pt>
              </c:numCache>
            </c:numRef>
          </c:val>
          <c:smooth val="0"/>
          <c:extLst>
            <c:ext xmlns:c16="http://schemas.microsoft.com/office/drawing/2014/chart" uri="{C3380CC4-5D6E-409C-BE32-E72D297353CC}">
              <c16:uniqueId val="{00000003-325E-864D-86E5-DCD2BEFC970E}"/>
            </c:ext>
          </c:extLst>
        </c:ser>
        <c:ser>
          <c:idx val="4"/>
          <c:order val="4"/>
          <c:tx>
            <c:strRef>
              <c:f>Sheet1!$F$210</c:f>
              <c:strCache>
                <c:ptCount val="1"/>
                <c:pt idx="0">
                  <c:v>SA</c:v>
                </c:pt>
              </c:strCache>
            </c:strRef>
          </c:tx>
          <c:spPr>
            <a:ln w="28575" cap="rnd">
              <a:solidFill>
                <a:schemeClr val="accent5"/>
              </a:solidFill>
              <a:round/>
            </a:ln>
            <a:effectLst/>
          </c:spPr>
          <c:marker>
            <c:symbol val="none"/>
          </c:marker>
          <c:cat>
            <c:strRef>
              <c:f>Sheet1!$A$211:$A$220</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Sheet1!$F$211:$F$220</c:f>
              <c:numCache>
                <c:formatCode>0.0%</c:formatCode>
                <c:ptCount val="10"/>
                <c:pt idx="0">
                  <c:v>0.76500000000000001</c:v>
                </c:pt>
                <c:pt idx="1">
                  <c:v>0.69900000000000007</c:v>
                </c:pt>
                <c:pt idx="2">
                  <c:v>0.7</c:v>
                </c:pt>
                <c:pt idx="3">
                  <c:v>0.67900000000000005</c:v>
                </c:pt>
                <c:pt idx="4">
                  <c:v>0.68099999999999994</c:v>
                </c:pt>
                <c:pt idx="5">
                  <c:v>0.63</c:v>
                </c:pt>
                <c:pt idx="6">
                  <c:v>0.61099999999999999</c:v>
                </c:pt>
                <c:pt idx="7">
                  <c:v>0.58099999999999996</c:v>
                </c:pt>
                <c:pt idx="8">
                  <c:v>0.54899999999999993</c:v>
                </c:pt>
                <c:pt idx="9">
                  <c:v>0.59299999999999997</c:v>
                </c:pt>
              </c:numCache>
            </c:numRef>
          </c:val>
          <c:smooth val="0"/>
          <c:extLst>
            <c:ext xmlns:c16="http://schemas.microsoft.com/office/drawing/2014/chart" uri="{C3380CC4-5D6E-409C-BE32-E72D297353CC}">
              <c16:uniqueId val="{00000004-325E-864D-86E5-DCD2BEFC970E}"/>
            </c:ext>
          </c:extLst>
        </c:ser>
        <c:ser>
          <c:idx val="5"/>
          <c:order val="5"/>
          <c:tx>
            <c:strRef>
              <c:f>Sheet1!$G$210</c:f>
              <c:strCache>
                <c:ptCount val="1"/>
                <c:pt idx="0">
                  <c:v>Tas</c:v>
                </c:pt>
              </c:strCache>
            </c:strRef>
          </c:tx>
          <c:spPr>
            <a:ln w="28575" cap="rnd">
              <a:solidFill>
                <a:schemeClr val="accent6"/>
              </a:solidFill>
              <a:round/>
            </a:ln>
            <a:effectLst/>
          </c:spPr>
          <c:marker>
            <c:symbol val="none"/>
          </c:marker>
          <c:cat>
            <c:strRef>
              <c:f>Sheet1!$A$211:$A$220</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Sheet1!$G$211:$G$220</c:f>
              <c:numCache>
                <c:formatCode>0.0%</c:formatCode>
                <c:ptCount val="10"/>
                <c:pt idx="0">
                  <c:v>0.60899999999999999</c:v>
                </c:pt>
                <c:pt idx="1">
                  <c:v>0.59200000000000008</c:v>
                </c:pt>
                <c:pt idx="2">
                  <c:v>0.54600000000000004</c:v>
                </c:pt>
                <c:pt idx="3">
                  <c:v>0.57100000000000006</c:v>
                </c:pt>
                <c:pt idx="4">
                  <c:v>0.56299999999999994</c:v>
                </c:pt>
                <c:pt idx="5">
                  <c:v>0.47799999999999998</c:v>
                </c:pt>
                <c:pt idx="6">
                  <c:v>0.495</c:v>
                </c:pt>
                <c:pt idx="7">
                  <c:v>0.49299999999999999</c:v>
                </c:pt>
                <c:pt idx="8">
                  <c:v>0.46899999999999997</c:v>
                </c:pt>
                <c:pt idx="9">
                  <c:v>0.44</c:v>
                </c:pt>
              </c:numCache>
            </c:numRef>
          </c:val>
          <c:smooth val="0"/>
          <c:extLst>
            <c:ext xmlns:c16="http://schemas.microsoft.com/office/drawing/2014/chart" uri="{C3380CC4-5D6E-409C-BE32-E72D297353CC}">
              <c16:uniqueId val="{00000005-325E-864D-86E5-DCD2BEFC970E}"/>
            </c:ext>
          </c:extLst>
        </c:ser>
        <c:ser>
          <c:idx val="6"/>
          <c:order val="6"/>
          <c:tx>
            <c:strRef>
              <c:f>Sheet1!$H$210</c:f>
              <c:strCache>
                <c:ptCount val="1"/>
                <c:pt idx="0">
                  <c:v>ACT</c:v>
                </c:pt>
              </c:strCache>
            </c:strRef>
          </c:tx>
          <c:spPr>
            <a:ln w="28575" cap="rnd">
              <a:solidFill>
                <a:schemeClr val="accent1">
                  <a:lumMod val="60000"/>
                </a:schemeClr>
              </a:solidFill>
              <a:round/>
            </a:ln>
            <a:effectLst/>
          </c:spPr>
          <c:marker>
            <c:symbol val="none"/>
          </c:marker>
          <c:cat>
            <c:strRef>
              <c:f>Sheet1!$A$211:$A$220</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Sheet1!$H$211:$H$220</c:f>
              <c:numCache>
                <c:formatCode>0.0%</c:formatCode>
                <c:ptCount val="10"/>
                <c:pt idx="1">
                  <c:v>0.76</c:v>
                </c:pt>
                <c:pt idx="2">
                  <c:v>0.81799999999999995</c:v>
                </c:pt>
                <c:pt idx="3">
                  <c:v>0.755</c:v>
                </c:pt>
                <c:pt idx="4">
                  <c:v>0.747</c:v>
                </c:pt>
                <c:pt idx="5">
                  <c:v>0.7</c:v>
                </c:pt>
                <c:pt idx="6">
                  <c:v>0.59899999999999998</c:v>
                </c:pt>
                <c:pt idx="7">
                  <c:v>0.70200000000000007</c:v>
                </c:pt>
                <c:pt idx="8">
                  <c:v>0.67299999999999993</c:v>
                </c:pt>
                <c:pt idx="9">
                  <c:v>0.66799999999999993</c:v>
                </c:pt>
              </c:numCache>
            </c:numRef>
          </c:val>
          <c:smooth val="0"/>
          <c:extLst>
            <c:ext xmlns:c16="http://schemas.microsoft.com/office/drawing/2014/chart" uri="{C3380CC4-5D6E-409C-BE32-E72D297353CC}">
              <c16:uniqueId val="{00000006-325E-864D-86E5-DCD2BEFC970E}"/>
            </c:ext>
          </c:extLst>
        </c:ser>
        <c:ser>
          <c:idx val="7"/>
          <c:order val="7"/>
          <c:tx>
            <c:strRef>
              <c:f>Sheet1!$I$210</c:f>
              <c:strCache>
                <c:ptCount val="1"/>
                <c:pt idx="0">
                  <c:v>NT</c:v>
                </c:pt>
              </c:strCache>
            </c:strRef>
          </c:tx>
          <c:spPr>
            <a:ln w="28575" cap="rnd">
              <a:solidFill>
                <a:schemeClr val="accent2">
                  <a:lumMod val="60000"/>
                </a:schemeClr>
              </a:solidFill>
              <a:round/>
            </a:ln>
            <a:effectLst/>
          </c:spPr>
          <c:marker>
            <c:symbol val="none"/>
          </c:marker>
          <c:cat>
            <c:strRef>
              <c:f>Sheet1!$A$211:$A$220</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Sheet1!$I$211:$I$220</c:f>
              <c:numCache>
                <c:formatCode>0.0%</c:formatCode>
                <c:ptCount val="10"/>
                <c:pt idx="0">
                  <c:v>0.84</c:v>
                </c:pt>
                <c:pt idx="1">
                  <c:v>0.83</c:v>
                </c:pt>
                <c:pt idx="2">
                  <c:v>0.83799999999999997</c:v>
                </c:pt>
                <c:pt idx="3">
                  <c:v>0.84099999999999997</c:v>
                </c:pt>
                <c:pt idx="4">
                  <c:v>0.81400000000000006</c:v>
                </c:pt>
                <c:pt idx="5">
                  <c:v>0.76200000000000001</c:v>
                </c:pt>
                <c:pt idx="6">
                  <c:v>0.77800000000000002</c:v>
                </c:pt>
                <c:pt idx="7">
                  <c:v>0.746</c:v>
                </c:pt>
                <c:pt idx="8">
                  <c:v>0.69200000000000006</c:v>
                </c:pt>
                <c:pt idx="9">
                  <c:v>0.71200000000000008</c:v>
                </c:pt>
              </c:numCache>
            </c:numRef>
          </c:val>
          <c:smooth val="0"/>
          <c:extLst>
            <c:ext xmlns:c16="http://schemas.microsoft.com/office/drawing/2014/chart" uri="{C3380CC4-5D6E-409C-BE32-E72D297353CC}">
              <c16:uniqueId val="{00000007-325E-864D-86E5-DCD2BEFC970E}"/>
            </c:ext>
          </c:extLst>
        </c:ser>
        <c:dLbls>
          <c:showLegendKey val="0"/>
          <c:showVal val="0"/>
          <c:showCatName val="0"/>
          <c:showSerName val="0"/>
          <c:showPercent val="0"/>
          <c:showBubbleSize val="0"/>
        </c:dLbls>
        <c:smooth val="0"/>
        <c:axId val="1285816831"/>
        <c:axId val="543404159"/>
      </c:lineChart>
      <c:catAx>
        <c:axId val="128581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404159"/>
        <c:crosses val="autoZero"/>
        <c:auto val="1"/>
        <c:lblAlgn val="ctr"/>
        <c:lblOffset val="100"/>
        <c:noMultiLvlLbl val="0"/>
      </c:catAx>
      <c:valAx>
        <c:axId val="543404159"/>
        <c:scaling>
          <c:orientation val="minMax"/>
          <c:max val="1"/>
          <c:min val="0.4"/>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816831"/>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Magistrates Court</a:t>
            </a:r>
          </a:p>
          <a:p>
            <a:pPr>
              <a:defRPr/>
            </a:pPr>
            <a:r>
              <a:rPr lang="en-GB" b="1"/>
              <a:t>Cases finalised &lt;=12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Sheet1!$B$224</c:f>
              <c:strCache>
                <c:ptCount val="1"/>
                <c:pt idx="0">
                  <c:v>NSW</c:v>
                </c:pt>
              </c:strCache>
            </c:strRef>
          </c:tx>
          <c:spPr>
            <a:ln w="28575" cap="rnd">
              <a:solidFill>
                <a:schemeClr val="accent1"/>
              </a:solidFill>
              <a:round/>
            </a:ln>
            <a:effectLst/>
          </c:spPr>
          <c:marker>
            <c:symbol val="none"/>
          </c:marker>
          <c:cat>
            <c:strRef>
              <c:f>Sheet1!$A$225:$A$234</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Sheet1!$B$225:$B$234</c:f>
              <c:numCache>
                <c:formatCode>0.0%</c:formatCode>
                <c:ptCount val="10"/>
                <c:pt idx="0">
                  <c:v>0.9840000000000001</c:v>
                </c:pt>
                <c:pt idx="1">
                  <c:v>0.98299999999999998</c:v>
                </c:pt>
                <c:pt idx="2">
                  <c:v>0.98199999999999998</c:v>
                </c:pt>
                <c:pt idx="3">
                  <c:v>0.9840000000000001</c:v>
                </c:pt>
                <c:pt idx="4">
                  <c:v>0.98199999999999998</c:v>
                </c:pt>
                <c:pt idx="5">
                  <c:v>0.96</c:v>
                </c:pt>
                <c:pt idx="6">
                  <c:v>0.95099999999999996</c:v>
                </c:pt>
                <c:pt idx="7">
                  <c:v>0.93299999999999994</c:v>
                </c:pt>
                <c:pt idx="8">
                  <c:v>0.95400000000000007</c:v>
                </c:pt>
                <c:pt idx="9">
                  <c:v>0.95799999999999996</c:v>
                </c:pt>
              </c:numCache>
            </c:numRef>
          </c:val>
          <c:smooth val="0"/>
          <c:extLst>
            <c:ext xmlns:c16="http://schemas.microsoft.com/office/drawing/2014/chart" uri="{C3380CC4-5D6E-409C-BE32-E72D297353CC}">
              <c16:uniqueId val="{00000000-F8BF-7749-8915-E494925B88AE}"/>
            </c:ext>
          </c:extLst>
        </c:ser>
        <c:ser>
          <c:idx val="1"/>
          <c:order val="1"/>
          <c:tx>
            <c:strRef>
              <c:f>Sheet1!$C$224</c:f>
              <c:strCache>
                <c:ptCount val="1"/>
                <c:pt idx="0">
                  <c:v>Vic</c:v>
                </c:pt>
              </c:strCache>
            </c:strRef>
          </c:tx>
          <c:spPr>
            <a:ln w="28575" cap="rnd">
              <a:solidFill>
                <a:schemeClr val="accent2"/>
              </a:solidFill>
              <a:round/>
            </a:ln>
            <a:effectLst/>
          </c:spPr>
          <c:marker>
            <c:symbol val="none"/>
          </c:marker>
          <c:cat>
            <c:strRef>
              <c:f>Sheet1!$A$225:$A$234</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Sheet1!$C$225:$C$234</c:f>
              <c:numCache>
                <c:formatCode>0.0%</c:formatCode>
                <c:ptCount val="10"/>
                <c:pt idx="0">
                  <c:v>0.93500000000000005</c:v>
                </c:pt>
                <c:pt idx="1">
                  <c:v>0.91500000000000004</c:v>
                </c:pt>
                <c:pt idx="2">
                  <c:v>0.90700000000000003</c:v>
                </c:pt>
                <c:pt idx="3">
                  <c:v>0.89700000000000002</c:v>
                </c:pt>
                <c:pt idx="4">
                  <c:v>0.90400000000000003</c:v>
                </c:pt>
                <c:pt idx="5">
                  <c:v>0.77500000000000002</c:v>
                </c:pt>
                <c:pt idx="6">
                  <c:v>0.67799999999999994</c:v>
                </c:pt>
                <c:pt idx="7">
                  <c:v>0.745</c:v>
                </c:pt>
                <c:pt idx="8">
                  <c:v>0.83400000000000007</c:v>
                </c:pt>
                <c:pt idx="9">
                  <c:v>0.87599999999999989</c:v>
                </c:pt>
              </c:numCache>
            </c:numRef>
          </c:val>
          <c:smooth val="0"/>
          <c:extLst>
            <c:ext xmlns:c16="http://schemas.microsoft.com/office/drawing/2014/chart" uri="{C3380CC4-5D6E-409C-BE32-E72D297353CC}">
              <c16:uniqueId val="{00000001-F8BF-7749-8915-E494925B88AE}"/>
            </c:ext>
          </c:extLst>
        </c:ser>
        <c:ser>
          <c:idx val="2"/>
          <c:order val="2"/>
          <c:tx>
            <c:strRef>
              <c:f>Sheet1!$D$224</c:f>
              <c:strCache>
                <c:ptCount val="1"/>
                <c:pt idx="0">
                  <c:v>Qld</c:v>
                </c:pt>
              </c:strCache>
            </c:strRef>
          </c:tx>
          <c:spPr>
            <a:ln w="28575" cap="rnd">
              <a:solidFill>
                <a:schemeClr val="accent3"/>
              </a:solidFill>
              <a:round/>
            </a:ln>
            <a:effectLst/>
          </c:spPr>
          <c:marker>
            <c:symbol val="none"/>
          </c:marker>
          <c:cat>
            <c:strRef>
              <c:f>Sheet1!$A$225:$A$234</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Sheet1!$D$225:$D$234</c:f>
              <c:numCache>
                <c:formatCode>0.0%</c:formatCode>
                <c:ptCount val="10"/>
                <c:pt idx="0">
                  <c:v>0.95299999999999996</c:v>
                </c:pt>
                <c:pt idx="1">
                  <c:v>0.94299999999999995</c:v>
                </c:pt>
                <c:pt idx="2">
                  <c:v>0.92900000000000005</c:v>
                </c:pt>
                <c:pt idx="3">
                  <c:v>0.93500000000000005</c:v>
                </c:pt>
                <c:pt idx="4">
                  <c:v>0.92799999999999994</c:v>
                </c:pt>
                <c:pt idx="5">
                  <c:v>0.90700000000000003</c:v>
                </c:pt>
                <c:pt idx="6">
                  <c:v>0.8859999999999999</c:v>
                </c:pt>
                <c:pt idx="7">
                  <c:v>0.90900000000000003</c:v>
                </c:pt>
                <c:pt idx="8">
                  <c:v>0.90099999999999991</c:v>
                </c:pt>
                <c:pt idx="9">
                  <c:v>0.88500000000000001</c:v>
                </c:pt>
              </c:numCache>
            </c:numRef>
          </c:val>
          <c:smooth val="0"/>
          <c:extLst>
            <c:ext xmlns:c16="http://schemas.microsoft.com/office/drawing/2014/chart" uri="{C3380CC4-5D6E-409C-BE32-E72D297353CC}">
              <c16:uniqueId val="{00000002-F8BF-7749-8915-E494925B88AE}"/>
            </c:ext>
          </c:extLst>
        </c:ser>
        <c:ser>
          <c:idx val="3"/>
          <c:order val="3"/>
          <c:tx>
            <c:strRef>
              <c:f>Sheet1!$E$224</c:f>
              <c:strCache>
                <c:ptCount val="1"/>
                <c:pt idx="0">
                  <c:v>WA</c:v>
                </c:pt>
              </c:strCache>
            </c:strRef>
          </c:tx>
          <c:spPr>
            <a:ln w="28575" cap="rnd">
              <a:solidFill>
                <a:schemeClr val="accent4"/>
              </a:solidFill>
              <a:round/>
            </a:ln>
            <a:effectLst/>
          </c:spPr>
          <c:marker>
            <c:symbol val="none"/>
          </c:marker>
          <c:cat>
            <c:strRef>
              <c:f>Sheet1!$A$225:$A$234</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Sheet1!$E$225:$E$234</c:f>
              <c:numCache>
                <c:formatCode>0.0%</c:formatCode>
                <c:ptCount val="10"/>
                <c:pt idx="0">
                  <c:v>0.96200000000000008</c:v>
                </c:pt>
                <c:pt idx="1">
                  <c:v>0.92799999999999994</c:v>
                </c:pt>
                <c:pt idx="2">
                  <c:v>0.94299999999999995</c:v>
                </c:pt>
                <c:pt idx="3">
                  <c:v>0.95</c:v>
                </c:pt>
                <c:pt idx="4">
                  <c:v>0.95</c:v>
                </c:pt>
                <c:pt idx="5">
                  <c:v>0.94700000000000006</c:v>
                </c:pt>
                <c:pt idx="6">
                  <c:v>0.93599999999999994</c:v>
                </c:pt>
                <c:pt idx="7">
                  <c:v>0.94700000000000006</c:v>
                </c:pt>
                <c:pt idx="8">
                  <c:v>0.95</c:v>
                </c:pt>
                <c:pt idx="9">
                  <c:v>0.94599999999999995</c:v>
                </c:pt>
              </c:numCache>
            </c:numRef>
          </c:val>
          <c:smooth val="0"/>
          <c:extLst>
            <c:ext xmlns:c16="http://schemas.microsoft.com/office/drawing/2014/chart" uri="{C3380CC4-5D6E-409C-BE32-E72D297353CC}">
              <c16:uniqueId val="{00000003-F8BF-7749-8915-E494925B88AE}"/>
            </c:ext>
          </c:extLst>
        </c:ser>
        <c:ser>
          <c:idx val="4"/>
          <c:order val="4"/>
          <c:tx>
            <c:strRef>
              <c:f>Sheet1!$F$224</c:f>
              <c:strCache>
                <c:ptCount val="1"/>
                <c:pt idx="0">
                  <c:v>SA</c:v>
                </c:pt>
              </c:strCache>
            </c:strRef>
          </c:tx>
          <c:spPr>
            <a:ln w="28575" cap="rnd">
              <a:solidFill>
                <a:schemeClr val="accent5"/>
              </a:solidFill>
              <a:round/>
            </a:ln>
            <a:effectLst/>
          </c:spPr>
          <c:marker>
            <c:symbol val="none"/>
          </c:marker>
          <c:cat>
            <c:strRef>
              <c:f>Sheet1!$A$225:$A$234</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Sheet1!$F$225:$F$234</c:f>
              <c:numCache>
                <c:formatCode>0.0%</c:formatCode>
                <c:ptCount val="10"/>
                <c:pt idx="0">
                  <c:v>0.91700000000000004</c:v>
                </c:pt>
                <c:pt idx="1">
                  <c:v>0.87400000000000011</c:v>
                </c:pt>
                <c:pt idx="2">
                  <c:v>0.88400000000000001</c:v>
                </c:pt>
                <c:pt idx="3">
                  <c:v>0.875</c:v>
                </c:pt>
                <c:pt idx="4">
                  <c:v>0.872</c:v>
                </c:pt>
                <c:pt idx="5">
                  <c:v>0.85099999999999998</c:v>
                </c:pt>
                <c:pt idx="6">
                  <c:v>0.82700000000000007</c:v>
                </c:pt>
                <c:pt idx="7">
                  <c:v>0.81099999999999994</c:v>
                </c:pt>
                <c:pt idx="8">
                  <c:v>0.8</c:v>
                </c:pt>
                <c:pt idx="9">
                  <c:v>0.81299999999999994</c:v>
                </c:pt>
              </c:numCache>
            </c:numRef>
          </c:val>
          <c:smooth val="0"/>
          <c:extLst>
            <c:ext xmlns:c16="http://schemas.microsoft.com/office/drawing/2014/chart" uri="{C3380CC4-5D6E-409C-BE32-E72D297353CC}">
              <c16:uniqueId val="{00000004-F8BF-7749-8915-E494925B88AE}"/>
            </c:ext>
          </c:extLst>
        </c:ser>
        <c:ser>
          <c:idx val="5"/>
          <c:order val="5"/>
          <c:tx>
            <c:strRef>
              <c:f>Sheet1!$G$224</c:f>
              <c:strCache>
                <c:ptCount val="1"/>
                <c:pt idx="0">
                  <c:v>Tas</c:v>
                </c:pt>
              </c:strCache>
            </c:strRef>
          </c:tx>
          <c:spPr>
            <a:ln w="28575" cap="rnd">
              <a:solidFill>
                <a:schemeClr val="accent6"/>
              </a:solidFill>
              <a:round/>
            </a:ln>
            <a:effectLst/>
          </c:spPr>
          <c:marker>
            <c:symbol val="none"/>
          </c:marker>
          <c:cat>
            <c:strRef>
              <c:f>Sheet1!$A$225:$A$234</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Sheet1!$G$225:$G$234</c:f>
              <c:numCache>
                <c:formatCode>0.0%</c:formatCode>
                <c:ptCount val="10"/>
                <c:pt idx="0">
                  <c:v>0.84400000000000008</c:v>
                </c:pt>
                <c:pt idx="1">
                  <c:v>0.84799999999999998</c:v>
                </c:pt>
                <c:pt idx="2">
                  <c:v>0.79900000000000004</c:v>
                </c:pt>
                <c:pt idx="3">
                  <c:v>0.81200000000000006</c:v>
                </c:pt>
                <c:pt idx="4">
                  <c:v>0.80599999999999994</c:v>
                </c:pt>
                <c:pt idx="5">
                  <c:v>0.77800000000000002</c:v>
                </c:pt>
                <c:pt idx="6">
                  <c:v>0.75099999999999989</c:v>
                </c:pt>
                <c:pt idx="7">
                  <c:v>0.73599999999999999</c:v>
                </c:pt>
                <c:pt idx="8">
                  <c:v>0.73799999999999999</c:v>
                </c:pt>
                <c:pt idx="9">
                  <c:v>0.72599999999999998</c:v>
                </c:pt>
              </c:numCache>
            </c:numRef>
          </c:val>
          <c:smooth val="0"/>
          <c:extLst>
            <c:ext xmlns:c16="http://schemas.microsoft.com/office/drawing/2014/chart" uri="{C3380CC4-5D6E-409C-BE32-E72D297353CC}">
              <c16:uniqueId val="{00000005-F8BF-7749-8915-E494925B88AE}"/>
            </c:ext>
          </c:extLst>
        </c:ser>
        <c:ser>
          <c:idx val="6"/>
          <c:order val="6"/>
          <c:tx>
            <c:strRef>
              <c:f>Sheet1!$H$224</c:f>
              <c:strCache>
                <c:ptCount val="1"/>
                <c:pt idx="0">
                  <c:v>ACT</c:v>
                </c:pt>
              </c:strCache>
            </c:strRef>
          </c:tx>
          <c:spPr>
            <a:ln w="28575" cap="rnd">
              <a:solidFill>
                <a:schemeClr val="accent1">
                  <a:lumMod val="60000"/>
                </a:schemeClr>
              </a:solidFill>
              <a:round/>
            </a:ln>
            <a:effectLst/>
          </c:spPr>
          <c:marker>
            <c:symbol val="none"/>
          </c:marker>
          <c:cat>
            <c:strRef>
              <c:f>Sheet1!$A$225:$A$234</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Sheet1!$H$225:$H$234</c:f>
              <c:numCache>
                <c:formatCode>0.0%</c:formatCode>
                <c:ptCount val="10"/>
                <c:pt idx="1">
                  <c:v>0.92200000000000004</c:v>
                </c:pt>
                <c:pt idx="2">
                  <c:v>0.93599999999999994</c:v>
                </c:pt>
                <c:pt idx="3">
                  <c:v>0.93500000000000005</c:v>
                </c:pt>
                <c:pt idx="4">
                  <c:v>0.92599999999999993</c:v>
                </c:pt>
                <c:pt idx="5">
                  <c:v>0.90099999999999991</c:v>
                </c:pt>
                <c:pt idx="6">
                  <c:v>0.90799999999999992</c:v>
                </c:pt>
                <c:pt idx="7">
                  <c:v>0.88700000000000001</c:v>
                </c:pt>
                <c:pt idx="8">
                  <c:v>0.89700000000000002</c:v>
                </c:pt>
                <c:pt idx="9">
                  <c:v>0.88800000000000001</c:v>
                </c:pt>
              </c:numCache>
            </c:numRef>
          </c:val>
          <c:smooth val="0"/>
          <c:extLst>
            <c:ext xmlns:c16="http://schemas.microsoft.com/office/drawing/2014/chart" uri="{C3380CC4-5D6E-409C-BE32-E72D297353CC}">
              <c16:uniqueId val="{00000006-F8BF-7749-8915-E494925B88AE}"/>
            </c:ext>
          </c:extLst>
        </c:ser>
        <c:ser>
          <c:idx val="7"/>
          <c:order val="7"/>
          <c:tx>
            <c:strRef>
              <c:f>Sheet1!$I$224</c:f>
              <c:strCache>
                <c:ptCount val="1"/>
                <c:pt idx="0">
                  <c:v>NT</c:v>
                </c:pt>
              </c:strCache>
            </c:strRef>
          </c:tx>
          <c:spPr>
            <a:ln w="28575" cap="rnd">
              <a:solidFill>
                <a:schemeClr val="accent2">
                  <a:lumMod val="60000"/>
                </a:schemeClr>
              </a:solidFill>
              <a:round/>
            </a:ln>
            <a:effectLst/>
          </c:spPr>
          <c:marker>
            <c:symbol val="none"/>
          </c:marker>
          <c:cat>
            <c:strRef>
              <c:f>Sheet1!$A$225:$A$234</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Sheet1!$I$225:$I$234</c:f>
              <c:numCache>
                <c:formatCode>0.0%</c:formatCode>
                <c:ptCount val="10"/>
                <c:pt idx="0">
                  <c:v>0.94099999999999995</c:v>
                </c:pt>
                <c:pt idx="1">
                  <c:v>0.93700000000000006</c:v>
                </c:pt>
                <c:pt idx="2">
                  <c:v>0.94599999999999995</c:v>
                </c:pt>
                <c:pt idx="3">
                  <c:v>0.94700000000000006</c:v>
                </c:pt>
                <c:pt idx="4">
                  <c:v>0.92200000000000004</c:v>
                </c:pt>
                <c:pt idx="5">
                  <c:v>0.90400000000000003</c:v>
                </c:pt>
                <c:pt idx="6">
                  <c:v>0.91799999999999993</c:v>
                </c:pt>
                <c:pt idx="7">
                  <c:v>0.88300000000000001</c:v>
                </c:pt>
                <c:pt idx="8">
                  <c:v>0.877</c:v>
                </c:pt>
                <c:pt idx="9">
                  <c:v>0.88700000000000001</c:v>
                </c:pt>
              </c:numCache>
            </c:numRef>
          </c:val>
          <c:smooth val="0"/>
          <c:extLst>
            <c:ext xmlns:c16="http://schemas.microsoft.com/office/drawing/2014/chart" uri="{C3380CC4-5D6E-409C-BE32-E72D297353CC}">
              <c16:uniqueId val="{00000007-F8BF-7749-8915-E494925B88AE}"/>
            </c:ext>
          </c:extLst>
        </c:ser>
        <c:dLbls>
          <c:showLegendKey val="0"/>
          <c:showVal val="0"/>
          <c:showCatName val="0"/>
          <c:showSerName val="0"/>
          <c:showPercent val="0"/>
          <c:showBubbleSize val="0"/>
        </c:dLbls>
        <c:smooth val="0"/>
        <c:axId val="1368658495"/>
        <c:axId val="1369101343"/>
      </c:lineChart>
      <c:catAx>
        <c:axId val="1368658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9101343"/>
        <c:crosses val="autoZero"/>
        <c:auto val="1"/>
        <c:lblAlgn val="ctr"/>
        <c:lblOffset val="100"/>
        <c:noMultiLvlLbl val="0"/>
      </c:catAx>
      <c:valAx>
        <c:axId val="1369101343"/>
        <c:scaling>
          <c:orientation val="minMax"/>
          <c:max val="1"/>
          <c:min val="0.6"/>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8658495"/>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50" baseline="0">
                <a:solidFill>
                  <a:schemeClr val="tx1">
                    <a:lumMod val="65000"/>
                    <a:lumOff val="35000"/>
                  </a:schemeClr>
                </a:solidFill>
                <a:latin typeface="+mn-lt"/>
                <a:ea typeface="+mn-ea"/>
                <a:cs typeface="+mn-cs"/>
              </a:defRPr>
            </a:pPr>
            <a:r>
              <a:rPr lang="en-GB" sz="1400" cap="none"/>
              <a:t>Magistrates court finalisations between 2015/16</a:t>
            </a:r>
            <a:r>
              <a:rPr lang="en-GB" sz="1400" cap="none" baseline="0"/>
              <a:t> - 2024/25</a:t>
            </a:r>
            <a:endParaRPr lang="en-GB" sz="1400" cap="none"/>
          </a:p>
        </c:rich>
      </c:tx>
      <c:overlay val="0"/>
      <c:spPr>
        <a:noFill/>
        <a:ln>
          <a:noFill/>
        </a:ln>
        <a:effectLst/>
      </c:spPr>
      <c:txPr>
        <a:bodyPr rot="0" spcFirstLastPara="1" vertOverflow="ellipsis" vert="horz" wrap="square" anchor="ctr" anchorCtr="1"/>
        <a:lstStyle/>
        <a:p>
          <a:pPr>
            <a:defRPr sz="1400" b="1" i="0" u="none" strike="noStrike" kern="1200" cap="none" spc="5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12219225721784777"/>
          <c:y val="0.16825779842035873"/>
          <c:w val="0.78455008748906385"/>
          <c:h val="0.753494321274357"/>
        </c:manualLayout>
      </c:layout>
      <c:barChart>
        <c:barDir val="col"/>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Sheet1!$B$122:$K$122</c:f>
              <c:strCache>
                <c:ptCount val="9"/>
                <c:pt idx="0">
                  <c:v>NSW</c:v>
                </c:pt>
                <c:pt idx="1">
                  <c:v>Vic</c:v>
                </c:pt>
                <c:pt idx="2">
                  <c:v>Qld</c:v>
                </c:pt>
                <c:pt idx="3">
                  <c:v>WA</c:v>
                </c:pt>
                <c:pt idx="4">
                  <c:v>SA</c:v>
                </c:pt>
                <c:pt idx="5">
                  <c:v>Tas</c:v>
                </c:pt>
                <c:pt idx="6">
                  <c:v>ACT</c:v>
                </c:pt>
                <c:pt idx="7">
                  <c:v>NT</c:v>
                </c:pt>
                <c:pt idx="8">
                  <c:v>AU</c:v>
                </c:pt>
              </c:strCache>
            </c:strRef>
          </c:cat>
          <c:val>
            <c:numRef>
              <c:f>Sheet1!$B$123:$K$123</c:f>
              <c:numCache>
                <c:formatCode>0.00%</c:formatCode>
                <c:ptCount val="10"/>
                <c:pt idx="0">
                  <c:v>-2.5999999999999999E-2</c:v>
                </c:pt>
                <c:pt idx="1">
                  <c:v>-6.3E-2</c:v>
                </c:pt>
                <c:pt idx="2">
                  <c:v>-7.1300000000000002E-2</c:v>
                </c:pt>
                <c:pt idx="3">
                  <c:v>-1.6E-2</c:v>
                </c:pt>
                <c:pt idx="4">
                  <c:v>-0.1134</c:v>
                </c:pt>
                <c:pt idx="5">
                  <c:v>-0.13980000000000001</c:v>
                </c:pt>
                <c:pt idx="6">
                  <c:v>-3.6799999999999999E-2</c:v>
                </c:pt>
                <c:pt idx="7">
                  <c:v>-5.7299999999999997E-2</c:v>
                </c:pt>
                <c:pt idx="8">
                  <c:v>-6.5299999999999997E-2</c:v>
                </c:pt>
              </c:numCache>
            </c:numRef>
          </c:val>
          <c:extLst>
            <c:ext xmlns:c16="http://schemas.microsoft.com/office/drawing/2014/chart" uri="{C3380CC4-5D6E-409C-BE32-E72D297353CC}">
              <c16:uniqueId val="{00000000-EBDE-9048-A354-F21631EDDB26}"/>
            </c:ext>
          </c:extLst>
        </c:ser>
        <c:dLbls>
          <c:dLblPos val="inEnd"/>
          <c:showLegendKey val="0"/>
          <c:showVal val="1"/>
          <c:showCatName val="0"/>
          <c:showSerName val="0"/>
          <c:showPercent val="0"/>
          <c:showBubbleSize val="0"/>
        </c:dLbls>
        <c:gapWidth val="355"/>
        <c:overlap val="-70"/>
        <c:axId val="1309873871"/>
        <c:axId val="482200431"/>
      </c:barChart>
      <c:catAx>
        <c:axId val="1309873871"/>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200431"/>
        <c:crosses val="autoZero"/>
        <c:auto val="1"/>
        <c:lblAlgn val="ctr"/>
        <c:lblOffset val="100"/>
        <c:noMultiLvlLbl val="0"/>
      </c:catAx>
      <c:valAx>
        <c:axId val="482200431"/>
        <c:scaling>
          <c:orientation val="minMax"/>
          <c:min val="-0.14000000000000001"/>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873871"/>
        <c:crosses val="autoZero"/>
        <c:crossBetween val="between"/>
        <c:minorUnit val="0.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Supreme</a:t>
            </a:r>
            <a:r>
              <a:rPr lang="en-GB" b="1" baseline="0"/>
              <a:t> Court of Tasmania</a:t>
            </a:r>
          </a:p>
          <a:p>
            <a:pPr>
              <a:defRPr/>
            </a:pPr>
            <a:r>
              <a:rPr lang="en-GB" b="1" baseline="0"/>
              <a:t>Appeal and non appeal &lt;=12 months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Sheet1!$B$182</c:f>
              <c:strCache>
                <c:ptCount val="1"/>
                <c:pt idx="0">
                  <c:v>NSW</c:v>
                </c:pt>
              </c:strCache>
            </c:strRef>
          </c:tx>
          <c:spPr>
            <a:ln w="28575" cap="rnd">
              <a:solidFill>
                <a:schemeClr val="accent1"/>
              </a:solidFill>
              <a:round/>
            </a:ln>
            <a:effectLst/>
          </c:spPr>
          <c:marker>
            <c:symbol val="none"/>
          </c:marker>
          <c:cat>
            <c:strRef>
              <c:f>Sheet1!$A$183:$A$192</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Sheet1!$B$183:$B$192</c:f>
              <c:numCache>
                <c:formatCode>0.0%</c:formatCode>
                <c:ptCount val="10"/>
                <c:pt idx="0">
                  <c:v>0.84099999999999997</c:v>
                </c:pt>
                <c:pt idx="1">
                  <c:v>0.873</c:v>
                </c:pt>
                <c:pt idx="2">
                  <c:v>0.86599999999999999</c:v>
                </c:pt>
                <c:pt idx="3">
                  <c:v>0.83499999999999996</c:v>
                </c:pt>
                <c:pt idx="4">
                  <c:v>0.86099999999999999</c:v>
                </c:pt>
                <c:pt idx="5">
                  <c:v>0.86299999999999999</c:v>
                </c:pt>
                <c:pt idx="6">
                  <c:v>0.84200000000000008</c:v>
                </c:pt>
                <c:pt idx="7">
                  <c:v>0.76200000000000001</c:v>
                </c:pt>
                <c:pt idx="8">
                  <c:v>0.82499999999999996</c:v>
                </c:pt>
                <c:pt idx="9">
                  <c:v>0.82900000000000007</c:v>
                </c:pt>
              </c:numCache>
            </c:numRef>
          </c:val>
          <c:smooth val="0"/>
          <c:extLst>
            <c:ext xmlns:c16="http://schemas.microsoft.com/office/drawing/2014/chart" uri="{C3380CC4-5D6E-409C-BE32-E72D297353CC}">
              <c16:uniqueId val="{00000000-2C32-EB49-AA35-20FBFB389496}"/>
            </c:ext>
          </c:extLst>
        </c:ser>
        <c:ser>
          <c:idx val="1"/>
          <c:order val="1"/>
          <c:tx>
            <c:strRef>
              <c:f>Sheet1!$C$182</c:f>
              <c:strCache>
                <c:ptCount val="1"/>
                <c:pt idx="0">
                  <c:v>Vic</c:v>
                </c:pt>
              </c:strCache>
            </c:strRef>
          </c:tx>
          <c:spPr>
            <a:ln w="28575" cap="rnd">
              <a:solidFill>
                <a:schemeClr val="accent2"/>
              </a:solidFill>
              <a:round/>
            </a:ln>
            <a:effectLst/>
          </c:spPr>
          <c:marker>
            <c:symbol val="none"/>
          </c:marker>
          <c:cat>
            <c:strRef>
              <c:f>Sheet1!$A$183:$A$192</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Sheet1!$C$183:$C$192</c:f>
              <c:numCache>
                <c:formatCode>0.0%</c:formatCode>
                <c:ptCount val="10"/>
                <c:pt idx="0">
                  <c:v>0.79400000000000004</c:v>
                </c:pt>
                <c:pt idx="1">
                  <c:v>0.82299999999999995</c:v>
                </c:pt>
                <c:pt idx="2">
                  <c:v>0.80400000000000005</c:v>
                </c:pt>
                <c:pt idx="3">
                  <c:v>0.77099999999999991</c:v>
                </c:pt>
                <c:pt idx="4">
                  <c:v>0.59399999999999997</c:v>
                </c:pt>
                <c:pt idx="5">
                  <c:v>0.61299999999999999</c:v>
                </c:pt>
                <c:pt idx="6">
                  <c:v>0.59200000000000008</c:v>
                </c:pt>
                <c:pt idx="7">
                  <c:v>0.63400000000000001</c:v>
                </c:pt>
                <c:pt idx="8">
                  <c:v>0.64400000000000002</c:v>
                </c:pt>
                <c:pt idx="9">
                  <c:v>0.51500000000000001</c:v>
                </c:pt>
              </c:numCache>
            </c:numRef>
          </c:val>
          <c:smooth val="0"/>
          <c:extLst>
            <c:ext xmlns:c16="http://schemas.microsoft.com/office/drawing/2014/chart" uri="{C3380CC4-5D6E-409C-BE32-E72D297353CC}">
              <c16:uniqueId val="{00000001-2C32-EB49-AA35-20FBFB389496}"/>
            </c:ext>
          </c:extLst>
        </c:ser>
        <c:ser>
          <c:idx val="2"/>
          <c:order val="2"/>
          <c:tx>
            <c:strRef>
              <c:f>Sheet1!$D$182</c:f>
              <c:strCache>
                <c:ptCount val="1"/>
                <c:pt idx="0">
                  <c:v>Qld</c:v>
                </c:pt>
              </c:strCache>
            </c:strRef>
          </c:tx>
          <c:spPr>
            <a:ln w="28575" cap="rnd">
              <a:solidFill>
                <a:schemeClr val="accent3"/>
              </a:solidFill>
              <a:round/>
            </a:ln>
            <a:effectLst/>
          </c:spPr>
          <c:marker>
            <c:symbol val="none"/>
          </c:marker>
          <c:cat>
            <c:strRef>
              <c:f>Sheet1!$A$183:$A$192</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Sheet1!$D$183:$D$192</c:f>
              <c:numCache>
                <c:formatCode>0.0%</c:formatCode>
                <c:ptCount val="10"/>
                <c:pt idx="0">
                  <c:v>0.89400000000000002</c:v>
                </c:pt>
                <c:pt idx="1">
                  <c:v>0.91500000000000004</c:v>
                </c:pt>
                <c:pt idx="2">
                  <c:v>0.88500000000000001</c:v>
                </c:pt>
                <c:pt idx="3">
                  <c:v>0.89200000000000002</c:v>
                </c:pt>
                <c:pt idx="4">
                  <c:v>0.91599999999999993</c:v>
                </c:pt>
                <c:pt idx="5">
                  <c:v>0.90099999999999991</c:v>
                </c:pt>
                <c:pt idx="6">
                  <c:v>0.91299999999999992</c:v>
                </c:pt>
                <c:pt idx="7">
                  <c:v>0.85299999999999998</c:v>
                </c:pt>
                <c:pt idx="8">
                  <c:v>0.85699999999999998</c:v>
                </c:pt>
                <c:pt idx="9">
                  <c:v>0.86099999999999999</c:v>
                </c:pt>
              </c:numCache>
            </c:numRef>
          </c:val>
          <c:smooth val="0"/>
          <c:extLst>
            <c:ext xmlns:c16="http://schemas.microsoft.com/office/drawing/2014/chart" uri="{C3380CC4-5D6E-409C-BE32-E72D297353CC}">
              <c16:uniqueId val="{00000002-2C32-EB49-AA35-20FBFB389496}"/>
            </c:ext>
          </c:extLst>
        </c:ser>
        <c:ser>
          <c:idx val="3"/>
          <c:order val="3"/>
          <c:tx>
            <c:strRef>
              <c:f>Sheet1!$E$182</c:f>
              <c:strCache>
                <c:ptCount val="1"/>
                <c:pt idx="0">
                  <c:v>WA</c:v>
                </c:pt>
              </c:strCache>
            </c:strRef>
          </c:tx>
          <c:spPr>
            <a:ln w="28575" cap="rnd">
              <a:solidFill>
                <a:schemeClr val="accent4"/>
              </a:solidFill>
              <a:round/>
            </a:ln>
            <a:effectLst/>
          </c:spPr>
          <c:marker>
            <c:symbol val="none"/>
          </c:marker>
          <c:cat>
            <c:strRef>
              <c:f>Sheet1!$A$183:$A$192</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Sheet1!$E$183:$E$192</c:f>
              <c:numCache>
                <c:formatCode>0.0%</c:formatCode>
                <c:ptCount val="10"/>
                <c:pt idx="0">
                  <c:v>0.8640000000000001</c:v>
                </c:pt>
                <c:pt idx="1">
                  <c:v>0.83799999999999997</c:v>
                </c:pt>
                <c:pt idx="2">
                  <c:v>0.82799999999999996</c:v>
                </c:pt>
                <c:pt idx="3">
                  <c:v>0.81299999999999994</c:v>
                </c:pt>
                <c:pt idx="4">
                  <c:v>0.71900000000000008</c:v>
                </c:pt>
                <c:pt idx="5">
                  <c:v>0.64800000000000002</c:v>
                </c:pt>
                <c:pt idx="6">
                  <c:v>0.68200000000000005</c:v>
                </c:pt>
                <c:pt idx="7">
                  <c:v>0.60099999999999998</c:v>
                </c:pt>
                <c:pt idx="8">
                  <c:v>0.77</c:v>
                </c:pt>
                <c:pt idx="9">
                  <c:v>0.623</c:v>
                </c:pt>
              </c:numCache>
            </c:numRef>
          </c:val>
          <c:smooth val="0"/>
          <c:extLst>
            <c:ext xmlns:c16="http://schemas.microsoft.com/office/drawing/2014/chart" uri="{C3380CC4-5D6E-409C-BE32-E72D297353CC}">
              <c16:uniqueId val="{00000003-2C32-EB49-AA35-20FBFB389496}"/>
            </c:ext>
          </c:extLst>
        </c:ser>
        <c:ser>
          <c:idx val="4"/>
          <c:order val="4"/>
          <c:tx>
            <c:strRef>
              <c:f>Sheet1!$F$182</c:f>
              <c:strCache>
                <c:ptCount val="1"/>
                <c:pt idx="0">
                  <c:v>SA</c:v>
                </c:pt>
              </c:strCache>
            </c:strRef>
          </c:tx>
          <c:spPr>
            <a:ln w="28575" cap="rnd">
              <a:solidFill>
                <a:schemeClr val="accent5"/>
              </a:solidFill>
              <a:round/>
            </a:ln>
            <a:effectLst/>
          </c:spPr>
          <c:marker>
            <c:symbol val="none"/>
          </c:marker>
          <c:cat>
            <c:strRef>
              <c:f>Sheet1!$A$183:$A$192</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Sheet1!$F$183:$F$192</c:f>
              <c:numCache>
                <c:formatCode>0.0%</c:formatCode>
                <c:ptCount val="10"/>
                <c:pt idx="0">
                  <c:v>0.89599999999999991</c:v>
                </c:pt>
                <c:pt idx="1">
                  <c:v>0.8909999999999999</c:v>
                </c:pt>
                <c:pt idx="2">
                  <c:v>0.88</c:v>
                </c:pt>
                <c:pt idx="3">
                  <c:v>0.83700000000000008</c:v>
                </c:pt>
                <c:pt idx="4">
                  <c:v>0.89400000000000002</c:v>
                </c:pt>
                <c:pt idx="5">
                  <c:v>0.53799999999999992</c:v>
                </c:pt>
                <c:pt idx="6">
                  <c:v>0.90200000000000002</c:v>
                </c:pt>
                <c:pt idx="7">
                  <c:v>0.79799999999999993</c:v>
                </c:pt>
                <c:pt idx="8">
                  <c:v>0.7340000000000001</c:v>
                </c:pt>
                <c:pt idx="9">
                  <c:v>0.70599999999999996</c:v>
                </c:pt>
              </c:numCache>
            </c:numRef>
          </c:val>
          <c:smooth val="0"/>
          <c:extLst>
            <c:ext xmlns:c16="http://schemas.microsoft.com/office/drawing/2014/chart" uri="{C3380CC4-5D6E-409C-BE32-E72D297353CC}">
              <c16:uniqueId val="{00000004-2C32-EB49-AA35-20FBFB389496}"/>
            </c:ext>
          </c:extLst>
        </c:ser>
        <c:ser>
          <c:idx val="5"/>
          <c:order val="5"/>
          <c:tx>
            <c:strRef>
              <c:f>Sheet1!$G$182</c:f>
              <c:strCache>
                <c:ptCount val="1"/>
                <c:pt idx="0">
                  <c:v>Tas</c:v>
                </c:pt>
              </c:strCache>
            </c:strRef>
          </c:tx>
          <c:spPr>
            <a:ln w="28575" cap="rnd">
              <a:solidFill>
                <a:schemeClr val="accent6"/>
              </a:solidFill>
              <a:round/>
            </a:ln>
            <a:effectLst/>
          </c:spPr>
          <c:marker>
            <c:symbol val="none"/>
          </c:marker>
          <c:cat>
            <c:strRef>
              <c:f>Sheet1!$A$183:$A$192</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Sheet1!$G$183:$G$192</c:f>
              <c:numCache>
                <c:formatCode>0.0%</c:formatCode>
                <c:ptCount val="10"/>
                <c:pt idx="0">
                  <c:v>0.64</c:v>
                </c:pt>
                <c:pt idx="1">
                  <c:v>0.624</c:v>
                </c:pt>
                <c:pt idx="2">
                  <c:v>0.59899999999999998</c:v>
                </c:pt>
                <c:pt idx="3">
                  <c:v>0.629</c:v>
                </c:pt>
                <c:pt idx="4">
                  <c:v>0.60699999999999998</c:v>
                </c:pt>
                <c:pt idx="5">
                  <c:v>0.51900000000000002</c:v>
                </c:pt>
                <c:pt idx="6">
                  <c:v>0.48599999999999999</c:v>
                </c:pt>
                <c:pt idx="7">
                  <c:v>0.46200000000000002</c:v>
                </c:pt>
                <c:pt idx="8">
                  <c:v>0.495</c:v>
                </c:pt>
                <c:pt idx="9">
                  <c:v>0.54899999999999993</c:v>
                </c:pt>
              </c:numCache>
            </c:numRef>
          </c:val>
          <c:smooth val="0"/>
          <c:extLst>
            <c:ext xmlns:c16="http://schemas.microsoft.com/office/drawing/2014/chart" uri="{C3380CC4-5D6E-409C-BE32-E72D297353CC}">
              <c16:uniqueId val="{00000005-2C32-EB49-AA35-20FBFB389496}"/>
            </c:ext>
          </c:extLst>
        </c:ser>
        <c:ser>
          <c:idx val="6"/>
          <c:order val="6"/>
          <c:tx>
            <c:strRef>
              <c:f>Sheet1!$H$182</c:f>
              <c:strCache>
                <c:ptCount val="1"/>
                <c:pt idx="0">
                  <c:v>ACT</c:v>
                </c:pt>
              </c:strCache>
            </c:strRef>
          </c:tx>
          <c:spPr>
            <a:ln w="28575" cap="rnd">
              <a:solidFill>
                <a:schemeClr val="accent1">
                  <a:lumMod val="60000"/>
                </a:schemeClr>
              </a:solidFill>
              <a:round/>
            </a:ln>
            <a:effectLst/>
          </c:spPr>
          <c:marker>
            <c:symbol val="none"/>
          </c:marker>
          <c:cat>
            <c:strRef>
              <c:f>Sheet1!$A$183:$A$192</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Sheet1!$H$183:$H$192</c:f>
              <c:numCache>
                <c:formatCode>0.0%</c:formatCode>
                <c:ptCount val="10"/>
                <c:pt idx="1">
                  <c:v>0.72599999999999998</c:v>
                </c:pt>
                <c:pt idx="2">
                  <c:v>0.81099999999999994</c:v>
                </c:pt>
                <c:pt idx="3">
                  <c:v>0.78200000000000003</c:v>
                </c:pt>
                <c:pt idx="4">
                  <c:v>0.77599999999999991</c:v>
                </c:pt>
                <c:pt idx="5">
                  <c:v>0.69700000000000006</c:v>
                </c:pt>
                <c:pt idx="6">
                  <c:v>0.64300000000000002</c:v>
                </c:pt>
                <c:pt idx="7">
                  <c:v>0.82400000000000007</c:v>
                </c:pt>
                <c:pt idx="8">
                  <c:v>0.57299999999999995</c:v>
                </c:pt>
                <c:pt idx="9">
                  <c:v>0.63100000000000001</c:v>
                </c:pt>
              </c:numCache>
            </c:numRef>
          </c:val>
          <c:smooth val="0"/>
          <c:extLst>
            <c:ext xmlns:c16="http://schemas.microsoft.com/office/drawing/2014/chart" uri="{C3380CC4-5D6E-409C-BE32-E72D297353CC}">
              <c16:uniqueId val="{00000006-2C32-EB49-AA35-20FBFB389496}"/>
            </c:ext>
          </c:extLst>
        </c:ser>
        <c:ser>
          <c:idx val="7"/>
          <c:order val="7"/>
          <c:tx>
            <c:strRef>
              <c:f>Sheet1!$I$182</c:f>
              <c:strCache>
                <c:ptCount val="1"/>
                <c:pt idx="0">
                  <c:v>NT</c:v>
                </c:pt>
              </c:strCache>
            </c:strRef>
          </c:tx>
          <c:spPr>
            <a:ln w="28575" cap="rnd">
              <a:solidFill>
                <a:schemeClr val="accent2">
                  <a:lumMod val="60000"/>
                </a:schemeClr>
              </a:solidFill>
              <a:round/>
            </a:ln>
            <a:effectLst/>
          </c:spPr>
          <c:marker>
            <c:symbol val="none"/>
          </c:marker>
          <c:cat>
            <c:strRef>
              <c:f>Sheet1!$A$183:$A$192</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Sheet1!$I$183:$I$192</c:f>
              <c:numCache>
                <c:formatCode>0.0%</c:formatCode>
                <c:ptCount val="10"/>
                <c:pt idx="0">
                  <c:v>0.94299999999999995</c:v>
                </c:pt>
                <c:pt idx="1">
                  <c:v>0.90099999999999991</c:v>
                </c:pt>
                <c:pt idx="2">
                  <c:v>0.92</c:v>
                </c:pt>
                <c:pt idx="3">
                  <c:v>0.90099999999999991</c:v>
                </c:pt>
                <c:pt idx="4">
                  <c:v>0.878</c:v>
                </c:pt>
                <c:pt idx="5">
                  <c:v>0.877</c:v>
                </c:pt>
                <c:pt idx="6">
                  <c:v>0.83</c:v>
                </c:pt>
                <c:pt idx="7">
                  <c:v>0.81499999999999995</c:v>
                </c:pt>
                <c:pt idx="8">
                  <c:v>0.8</c:v>
                </c:pt>
                <c:pt idx="9">
                  <c:v>0.69</c:v>
                </c:pt>
              </c:numCache>
            </c:numRef>
          </c:val>
          <c:smooth val="0"/>
          <c:extLst>
            <c:ext xmlns:c16="http://schemas.microsoft.com/office/drawing/2014/chart" uri="{C3380CC4-5D6E-409C-BE32-E72D297353CC}">
              <c16:uniqueId val="{00000007-2C32-EB49-AA35-20FBFB389496}"/>
            </c:ext>
          </c:extLst>
        </c:ser>
        <c:dLbls>
          <c:showLegendKey val="0"/>
          <c:showVal val="0"/>
          <c:showCatName val="0"/>
          <c:showSerName val="0"/>
          <c:showPercent val="0"/>
          <c:showBubbleSize val="0"/>
        </c:dLbls>
        <c:smooth val="0"/>
        <c:axId val="543796319"/>
        <c:axId val="1251410623"/>
      </c:lineChart>
      <c:catAx>
        <c:axId val="54379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410623"/>
        <c:crosses val="autoZero"/>
        <c:auto val="1"/>
        <c:lblAlgn val="ctr"/>
        <c:lblOffset val="100"/>
        <c:noMultiLvlLbl val="0"/>
      </c:catAx>
      <c:valAx>
        <c:axId val="1251410623"/>
        <c:scaling>
          <c:orientation val="minMax"/>
          <c:min val="0.4"/>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796319"/>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Supreme</a:t>
            </a:r>
            <a:r>
              <a:rPr lang="en-GB" b="1" baseline="0"/>
              <a:t> Court of Tasmania</a:t>
            </a:r>
          </a:p>
          <a:p>
            <a:pPr>
              <a:defRPr/>
            </a:pPr>
            <a:r>
              <a:rPr lang="en-GB" b="1" baseline="0"/>
              <a:t>Appeal and non appeal &lt;=24 months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Sheet1!$B$196</c:f>
              <c:strCache>
                <c:ptCount val="1"/>
                <c:pt idx="0">
                  <c:v>NSW</c:v>
                </c:pt>
              </c:strCache>
            </c:strRef>
          </c:tx>
          <c:spPr>
            <a:ln w="28575" cap="rnd">
              <a:solidFill>
                <a:schemeClr val="accent1"/>
              </a:solidFill>
              <a:round/>
            </a:ln>
            <a:effectLst/>
          </c:spPr>
          <c:marker>
            <c:symbol val="none"/>
          </c:marker>
          <c:cat>
            <c:strRef>
              <c:f>Sheet1!$A$197:$A$206</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Sheet1!$B$197:$B$206</c:f>
              <c:numCache>
                <c:formatCode>0.0%</c:formatCode>
                <c:ptCount val="10"/>
                <c:pt idx="0">
                  <c:v>0.96700000000000008</c:v>
                </c:pt>
                <c:pt idx="1">
                  <c:v>0.98099999999999998</c:v>
                </c:pt>
                <c:pt idx="2">
                  <c:v>0.97599999999999998</c:v>
                </c:pt>
                <c:pt idx="3">
                  <c:v>0.96299999999999997</c:v>
                </c:pt>
                <c:pt idx="4">
                  <c:v>0.95799999999999996</c:v>
                </c:pt>
                <c:pt idx="5">
                  <c:v>0.98</c:v>
                </c:pt>
                <c:pt idx="6">
                  <c:v>0.95</c:v>
                </c:pt>
                <c:pt idx="7">
                  <c:v>0.93799999999999994</c:v>
                </c:pt>
                <c:pt idx="8">
                  <c:v>0.94799999999999995</c:v>
                </c:pt>
                <c:pt idx="9">
                  <c:v>0.94700000000000006</c:v>
                </c:pt>
              </c:numCache>
            </c:numRef>
          </c:val>
          <c:smooth val="0"/>
          <c:extLst>
            <c:ext xmlns:c16="http://schemas.microsoft.com/office/drawing/2014/chart" uri="{C3380CC4-5D6E-409C-BE32-E72D297353CC}">
              <c16:uniqueId val="{00000000-B26A-0C43-96A0-1B239AB5DF05}"/>
            </c:ext>
          </c:extLst>
        </c:ser>
        <c:ser>
          <c:idx val="1"/>
          <c:order val="1"/>
          <c:tx>
            <c:strRef>
              <c:f>Sheet1!$C$196</c:f>
              <c:strCache>
                <c:ptCount val="1"/>
                <c:pt idx="0">
                  <c:v>Vic</c:v>
                </c:pt>
              </c:strCache>
            </c:strRef>
          </c:tx>
          <c:spPr>
            <a:ln w="28575" cap="rnd">
              <a:solidFill>
                <a:schemeClr val="accent2"/>
              </a:solidFill>
              <a:round/>
            </a:ln>
            <a:effectLst/>
          </c:spPr>
          <c:marker>
            <c:symbol val="none"/>
          </c:marker>
          <c:cat>
            <c:strRef>
              <c:f>Sheet1!$A$197:$A$206</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Sheet1!$C$197:$C$206</c:f>
              <c:numCache>
                <c:formatCode>0.0%</c:formatCode>
                <c:ptCount val="10"/>
                <c:pt idx="0">
                  <c:v>0.98799999999999999</c:v>
                </c:pt>
                <c:pt idx="1">
                  <c:v>0.99</c:v>
                </c:pt>
                <c:pt idx="2">
                  <c:v>0.97699999999999998</c:v>
                </c:pt>
                <c:pt idx="3">
                  <c:v>0.99</c:v>
                </c:pt>
                <c:pt idx="4">
                  <c:v>0.94900000000000007</c:v>
                </c:pt>
                <c:pt idx="5">
                  <c:v>0.95700000000000007</c:v>
                </c:pt>
                <c:pt idx="6">
                  <c:v>0.96599999999999997</c:v>
                </c:pt>
                <c:pt idx="7">
                  <c:v>0.92500000000000004</c:v>
                </c:pt>
                <c:pt idx="8">
                  <c:v>0.90599999999999992</c:v>
                </c:pt>
                <c:pt idx="9">
                  <c:v>0.90900000000000003</c:v>
                </c:pt>
              </c:numCache>
            </c:numRef>
          </c:val>
          <c:smooth val="0"/>
          <c:extLst>
            <c:ext xmlns:c16="http://schemas.microsoft.com/office/drawing/2014/chart" uri="{C3380CC4-5D6E-409C-BE32-E72D297353CC}">
              <c16:uniqueId val="{00000001-B26A-0C43-96A0-1B239AB5DF05}"/>
            </c:ext>
          </c:extLst>
        </c:ser>
        <c:ser>
          <c:idx val="2"/>
          <c:order val="2"/>
          <c:tx>
            <c:strRef>
              <c:f>Sheet1!$D$196</c:f>
              <c:strCache>
                <c:ptCount val="1"/>
                <c:pt idx="0">
                  <c:v>Qld</c:v>
                </c:pt>
              </c:strCache>
            </c:strRef>
          </c:tx>
          <c:spPr>
            <a:ln w="28575" cap="rnd">
              <a:solidFill>
                <a:schemeClr val="accent3"/>
              </a:solidFill>
              <a:round/>
            </a:ln>
            <a:effectLst/>
          </c:spPr>
          <c:marker>
            <c:symbol val="none"/>
          </c:marker>
          <c:cat>
            <c:strRef>
              <c:f>Sheet1!$A$197:$A$206</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Sheet1!$D$197:$D$206</c:f>
              <c:numCache>
                <c:formatCode>0.0%</c:formatCode>
                <c:ptCount val="10"/>
                <c:pt idx="0">
                  <c:v>0.98299999999999998</c:v>
                </c:pt>
                <c:pt idx="1">
                  <c:v>0.99199999999999999</c:v>
                </c:pt>
                <c:pt idx="2">
                  <c:v>0.98499999999999999</c:v>
                </c:pt>
                <c:pt idx="3">
                  <c:v>0.98099999999999998</c:v>
                </c:pt>
                <c:pt idx="4">
                  <c:v>0.98099999999999998</c:v>
                </c:pt>
                <c:pt idx="5">
                  <c:v>0.9840000000000001</c:v>
                </c:pt>
                <c:pt idx="6">
                  <c:v>0.98099999999999998</c:v>
                </c:pt>
                <c:pt idx="7">
                  <c:v>0.96900000000000008</c:v>
                </c:pt>
                <c:pt idx="8">
                  <c:v>0.96799999999999997</c:v>
                </c:pt>
                <c:pt idx="9">
                  <c:v>0.96200000000000008</c:v>
                </c:pt>
              </c:numCache>
            </c:numRef>
          </c:val>
          <c:smooth val="0"/>
          <c:extLst>
            <c:ext xmlns:c16="http://schemas.microsoft.com/office/drawing/2014/chart" uri="{C3380CC4-5D6E-409C-BE32-E72D297353CC}">
              <c16:uniqueId val="{00000002-B26A-0C43-96A0-1B239AB5DF05}"/>
            </c:ext>
          </c:extLst>
        </c:ser>
        <c:ser>
          <c:idx val="3"/>
          <c:order val="3"/>
          <c:tx>
            <c:strRef>
              <c:f>Sheet1!$E$196</c:f>
              <c:strCache>
                <c:ptCount val="1"/>
                <c:pt idx="0">
                  <c:v>WA</c:v>
                </c:pt>
              </c:strCache>
            </c:strRef>
          </c:tx>
          <c:spPr>
            <a:ln w="28575" cap="rnd">
              <a:solidFill>
                <a:schemeClr val="accent4"/>
              </a:solidFill>
              <a:round/>
            </a:ln>
            <a:effectLst/>
          </c:spPr>
          <c:marker>
            <c:symbol val="none"/>
          </c:marker>
          <c:cat>
            <c:strRef>
              <c:f>Sheet1!$A$197:$A$206</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Sheet1!$E$197:$E$206</c:f>
              <c:numCache>
                <c:formatCode>0.0%</c:formatCode>
                <c:ptCount val="10"/>
                <c:pt idx="0">
                  <c:v>0.99299999999999999</c:v>
                </c:pt>
                <c:pt idx="1">
                  <c:v>0.97900000000000009</c:v>
                </c:pt>
                <c:pt idx="2">
                  <c:v>0.98199999999999998</c:v>
                </c:pt>
                <c:pt idx="3">
                  <c:v>0.99299999999999999</c:v>
                </c:pt>
                <c:pt idx="4">
                  <c:v>0.97599999999999998</c:v>
                </c:pt>
                <c:pt idx="5">
                  <c:v>0.94</c:v>
                </c:pt>
                <c:pt idx="6">
                  <c:v>0.95</c:v>
                </c:pt>
                <c:pt idx="7">
                  <c:v>0.93700000000000006</c:v>
                </c:pt>
                <c:pt idx="8">
                  <c:v>0.95799999999999996</c:v>
                </c:pt>
                <c:pt idx="9">
                  <c:v>0.93400000000000005</c:v>
                </c:pt>
              </c:numCache>
            </c:numRef>
          </c:val>
          <c:smooth val="0"/>
          <c:extLst>
            <c:ext xmlns:c16="http://schemas.microsoft.com/office/drawing/2014/chart" uri="{C3380CC4-5D6E-409C-BE32-E72D297353CC}">
              <c16:uniqueId val="{00000003-B26A-0C43-96A0-1B239AB5DF05}"/>
            </c:ext>
          </c:extLst>
        </c:ser>
        <c:ser>
          <c:idx val="4"/>
          <c:order val="4"/>
          <c:tx>
            <c:strRef>
              <c:f>Sheet1!$F$196</c:f>
              <c:strCache>
                <c:ptCount val="1"/>
                <c:pt idx="0">
                  <c:v>SA</c:v>
                </c:pt>
              </c:strCache>
            </c:strRef>
          </c:tx>
          <c:spPr>
            <a:ln w="28575" cap="rnd">
              <a:solidFill>
                <a:schemeClr val="accent5"/>
              </a:solidFill>
              <a:round/>
            </a:ln>
            <a:effectLst/>
          </c:spPr>
          <c:marker>
            <c:symbol val="none"/>
          </c:marker>
          <c:cat>
            <c:strRef>
              <c:f>Sheet1!$A$197:$A$206</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Sheet1!$F$197:$F$206</c:f>
              <c:numCache>
                <c:formatCode>0.0%</c:formatCode>
                <c:ptCount val="10"/>
                <c:pt idx="0">
                  <c:v>0.9890000000000001</c:v>
                </c:pt>
                <c:pt idx="1">
                  <c:v>0.996</c:v>
                </c:pt>
                <c:pt idx="2">
                  <c:v>0.96</c:v>
                </c:pt>
                <c:pt idx="3">
                  <c:v>0.97799999999999998</c:v>
                </c:pt>
                <c:pt idx="4">
                  <c:v>0.98199999999999998</c:v>
                </c:pt>
                <c:pt idx="5">
                  <c:v>0.98799999999999999</c:v>
                </c:pt>
                <c:pt idx="6">
                  <c:v>0.98099999999999998</c:v>
                </c:pt>
                <c:pt idx="7">
                  <c:v>0.97400000000000009</c:v>
                </c:pt>
                <c:pt idx="8">
                  <c:v>0.92500000000000004</c:v>
                </c:pt>
                <c:pt idx="9">
                  <c:v>0.96900000000000008</c:v>
                </c:pt>
              </c:numCache>
            </c:numRef>
          </c:val>
          <c:smooth val="0"/>
          <c:extLst>
            <c:ext xmlns:c16="http://schemas.microsoft.com/office/drawing/2014/chart" uri="{C3380CC4-5D6E-409C-BE32-E72D297353CC}">
              <c16:uniqueId val="{00000004-B26A-0C43-96A0-1B239AB5DF05}"/>
            </c:ext>
          </c:extLst>
        </c:ser>
        <c:ser>
          <c:idx val="5"/>
          <c:order val="5"/>
          <c:tx>
            <c:strRef>
              <c:f>Sheet1!$G$196</c:f>
              <c:strCache>
                <c:ptCount val="1"/>
                <c:pt idx="0">
                  <c:v>Tas</c:v>
                </c:pt>
              </c:strCache>
            </c:strRef>
          </c:tx>
          <c:spPr>
            <a:ln w="28575" cap="rnd">
              <a:solidFill>
                <a:schemeClr val="accent6"/>
              </a:solidFill>
              <a:round/>
            </a:ln>
            <a:effectLst/>
          </c:spPr>
          <c:marker>
            <c:symbol val="none"/>
          </c:marker>
          <c:cat>
            <c:strRef>
              <c:f>Sheet1!$A$197:$A$206</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Sheet1!$G$197:$G$206</c:f>
              <c:numCache>
                <c:formatCode>0.0%</c:formatCode>
                <c:ptCount val="10"/>
                <c:pt idx="0">
                  <c:v>0.86599999999999999</c:v>
                </c:pt>
                <c:pt idx="1">
                  <c:v>0.88400000000000001</c:v>
                </c:pt>
                <c:pt idx="2">
                  <c:v>0.87599999999999989</c:v>
                </c:pt>
                <c:pt idx="3">
                  <c:v>0.88200000000000001</c:v>
                </c:pt>
                <c:pt idx="4">
                  <c:v>0.84599999999999997</c:v>
                </c:pt>
                <c:pt idx="5">
                  <c:v>0.84</c:v>
                </c:pt>
                <c:pt idx="6">
                  <c:v>0.76</c:v>
                </c:pt>
                <c:pt idx="7">
                  <c:v>0.71799999999999997</c:v>
                </c:pt>
                <c:pt idx="8">
                  <c:v>0.73099999999999998</c:v>
                </c:pt>
                <c:pt idx="9">
                  <c:v>0.82400000000000007</c:v>
                </c:pt>
              </c:numCache>
            </c:numRef>
          </c:val>
          <c:smooth val="0"/>
          <c:extLst>
            <c:ext xmlns:c16="http://schemas.microsoft.com/office/drawing/2014/chart" uri="{C3380CC4-5D6E-409C-BE32-E72D297353CC}">
              <c16:uniqueId val="{00000005-B26A-0C43-96A0-1B239AB5DF05}"/>
            </c:ext>
          </c:extLst>
        </c:ser>
        <c:ser>
          <c:idx val="6"/>
          <c:order val="6"/>
          <c:tx>
            <c:strRef>
              <c:f>Sheet1!$H$196</c:f>
              <c:strCache>
                <c:ptCount val="1"/>
                <c:pt idx="0">
                  <c:v>ACT</c:v>
                </c:pt>
              </c:strCache>
            </c:strRef>
          </c:tx>
          <c:spPr>
            <a:ln w="28575" cap="rnd">
              <a:solidFill>
                <a:schemeClr val="accent1">
                  <a:lumMod val="60000"/>
                </a:schemeClr>
              </a:solidFill>
              <a:round/>
            </a:ln>
            <a:effectLst/>
          </c:spPr>
          <c:marker>
            <c:symbol val="none"/>
          </c:marker>
          <c:cat>
            <c:strRef>
              <c:f>Sheet1!$A$197:$A$206</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Sheet1!$H$197:$H$206</c:f>
              <c:numCache>
                <c:formatCode>0.0%</c:formatCode>
                <c:ptCount val="10"/>
                <c:pt idx="1">
                  <c:v>0.96400000000000008</c:v>
                </c:pt>
                <c:pt idx="2">
                  <c:v>0.98699999999999999</c:v>
                </c:pt>
                <c:pt idx="3">
                  <c:v>0.95400000000000007</c:v>
                </c:pt>
                <c:pt idx="4">
                  <c:v>0.98</c:v>
                </c:pt>
                <c:pt idx="5">
                  <c:v>0.92299999999999993</c:v>
                </c:pt>
                <c:pt idx="6">
                  <c:v>0.88300000000000001</c:v>
                </c:pt>
                <c:pt idx="7">
                  <c:v>0.97799999999999998</c:v>
                </c:pt>
                <c:pt idx="8">
                  <c:v>0.92200000000000004</c:v>
                </c:pt>
                <c:pt idx="9">
                  <c:v>0.91299999999999992</c:v>
                </c:pt>
              </c:numCache>
            </c:numRef>
          </c:val>
          <c:smooth val="0"/>
          <c:extLst>
            <c:ext xmlns:c16="http://schemas.microsoft.com/office/drawing/2014/chart" uri="{C3380CC4-5D6E-409C-BE32-E72D297353CC}">
              <c16:uniqueId val="{00000006-B26A-0C43-96A0-1B239AB5DF05}"/>
            </c:ext>
          </c:extLst>
        </c:ser>
        <c:ser>
          <c:idx val="7"/>
          <c:order val="7"/>
          <c:tx>
            <c:strRef>
              <c:f>Sheet1!$I$196</c:f>
              <c:strCache>
                <c:ptCount val="1"/>
                <c:pt idx="0">
                  <c:v>NT</c:v>
                </c:pt>
              </c:strCache>
            </c:strRef>
          </c:tx>
          <c:spPr>
            <a:ln w="28575" cap="rnd">
              <a:solidFill>
                <a:schemeClr val="accent2">
                  <a:lumMod val="60000"/>
                </a:schemeClr>
              </a:solidFill>
              <a:round/>
            </a:ln>
            <a:effectLst/>
          </c:spPr>
          <c:marker>
            <c:symbol val="none"/>
          </c:marker>
          <c:cat>
            <c:strRef>
              <c:f>Sheet1!$A$197:$A$206</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Sheet1!$I$197:$I$206</c:f>
              <c:numCache>
                <c:formatCode>0.0%</c:formatCode>
                <c:ptCount val="10"/>
                <c:pt idx="0">
                  <c:v>0.98699999999999999</c:v>
                </c:pt>
                <c:pt idx="1">
                  <c:v>0.97299999999999998</c:v>
                </c:pt>
                <c:pt idx="2">
                  <c:v>0.98499999999999999</c:v>
                </c:pt>
                <c:pt idx="3">
                  <c:v>0.98099999999999998</c:v>
                </c:pt>
                <c:pt idx="4">
                  <c:v>0.97099999999999997</c:v>
                </c:pt>
                <c:pt idx="5">
                  <c:v>0.97699999999999998</c:v>
                </c:pt>
                <c:pt idx="6">
                  <c:v>0.94599999999999995</c:v>
                </c:pt>
                <c:pt idx="7">
                  <c:v>0.96799999999999997</c:v>
                </c:pt>
                <c:pt idx="8">
                  <c:v>0.96700000000000008</c:v>
                </c:pt>
                <c:pt idx="9">
                  <c:v>0.94700000000000006</c:v>
                </c:pt>
              </c:numCache>
            </c:numRef>
          </c:val>
          <c:smooth val="0"/>
          <c:extLst>
            <c:ext xmlns:c16="http://schemas.microsoft.com/office/drawing/2014/chart" uri="{C3380CC4-5D6E-409C-BE32-E72D297353CC}">
              <c16:uniqueId val="{00000007-B26A-0C43-96A0-1B239AB5DF05}"/>
            </c:ext>
          </c:extLst>
        </c:ser>
        <c:dLbls>
          <c:showLegendKey val="0"/>
          <c:showVal val="0"/>
          <c:showCatName val="0"/>
          <c:showSerName val="0"/>
          <c:showPercent val="0"/>
          <c:showBubbleSize val="0"/>
        </c:dLbls>
        <c:smooth val="0"/>
        <c:axId val="1251242111"/>
        <c:axId val="1285717983"/>
      </c:lineChart>
      <c:catAx>
        <c:axId val="125124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717983"/>
        <c:crosses val="autoZero"/>
        <c:auto val="1"/>
        <c:lblAlgn val="ctr"/>
        <c:lblOffset val="100"/>
        <c:noMultiLvlLbl val="0"/>
      </c:catAx>
      <c:valAx>
        <c:axId val="1285717983"/>
        <c:scaling>
          <c:orientation val="minMax"/>
          <c:max val="1"/>
          <c:min val="0.7"/>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242111"/>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GB" b="1" cap="none"/>
              <a:t>No. of non-appeal lodgments in Supreme Court</a:t>
            </a: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ndard"/>
        <c:varyColors val="0"/>
        <c:ser>
          <c:idx val="0"/>
          <c:order val="0"/>
          <c:tx>
            <c:strRef>
              <c:f>Sheet1!$B$238</c:f>
              <c:strCache>
                <c:ptCount val="1"/>
                <c:pt idx="0">
                  <c:v>Criminal </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Sheet1!$A$239:$A$248</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Sheet1!$B$239:$B$248</c:f>
              <c:numCache>
                <c:formatCode>General</c:formatCode>
                <c:ptCount val="10"/>
                <c:pt idx="0">
                  <c:v>449</c:v>
                </c:pt>
                <c:pt idx="1">
                  <c:v>512</c:v>
                </c:pt>
                <c:pt idx="2">
                  <c:v>575</c:v>
                </c:pt>
                <c:pt idx="3">
                  <c:v>667</c:v>
                </c:pt>
                <c:pt idx="4">
                  <c:v>647</c:v>
                </c:pt>
                <c:pt idx="5">
                  <c:v>539</c:v>
                </c:pt>
                <c:pt idx="6">
                  <c:v>449</c:v>
                </c:pt>
                <c:pt idx="7">
                  <c:v>612</c:v>
                </c:pt>
                <c:pt idx="8">
                  <c:v>742</c:v>
                </c:pt>
                <c:pt idx="9">
                  <c:v>774</c:v>
                </c:pt>
              </c:numCache>
            </c:numRef>
          </c:val>
          <c:smooth val="0"/>
          <c:extLst>
            <c:ext xmlns:c16="http://schemas.microsoft.com/office/drawing/2014/chart" uri="{C3380CC4-5D6E-409C-BE32-E72D297353CC}">
              <c16:uniqueId val="{00000000-DD69-C74A-B4E2-05CE540823D6}"/>
            </c:ext>
          </c:extLst>
        </c:ser>
        <c:ser>
          <c:idx val="1"/>
          <c:order val="1"/>
          <c:tx>
            <c:strRef>
              <c:f>Sheet1!$C$238</c:f>
              <c:strCache>
                <c:ptCount val="1"/>
                <c:pt idx="0">
                  <c:v>Civil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Sheet1!$A$239:$A$248</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Sheet1!$C$239:$C$248</c:f>
              <c:numCache>
                <c:formatCode>General</c:formatCode>
                <c:ptCount val="10"/>
                <c:pt idx="0">
                  <c:v>740</c:v>
                </c:pt>
                <c:pt idx="1">
                  <c:v>761</c:v>
                </c:pt>
                <c:pt idx="2">
                  <c:v>605</c:v>
                </c:pt>
                <c:pt idx="3">
                  <c:v>627</c:v>
                </c:pt>
                <c:pt idx="4">
                  <c:v>543</c:v>
                </c:pt>
                <c:pt idx="5">
                  <c:v>434</c:v>
                </c:pt>
                <c:pt idx="6">
                  <c:v>447</c:v>
                </c:pt>
                <c:pt idx="7">
                  <c:v>652</c:v>
                </c:pt>
                <c:pt idx="8">
                  <c:v>724</c:v>
                </c:pt>
                <c:pt idx="9">
                  <c:v>681</c:v>
                </c:pt>
              </c:numCache>
            </c:numRef>
          </c:val>
          <c:smooth val="0"/>
          <c:extLst>
            <c:ext xmlns:c16="http://schemas.microsoft.com/office/drawing/2014/chart" uri="{C3380CC4-5D6E-409C-BE32-E72D297353CC}">
              <c16:uniqueId val="{00000001-DD69-C74A-B4E2-05CE540823D6}"/>
            </c:ext>
          </c:extLst>
        </c:ser>
        <c:dLbls>
          <c:dLblPos val="ctr"/>
          <c:showLegendKey val="0"/>
          <c:showVal val="1"/>
          <c:showCatName val="0"/>
          <c:showSerName val="0"/>
          <c:showPercent val="0"/>
          <c:showBubbleSize val="0"/>
        </c:dLbls>
        <c:marker val="1"/>
        <c:smooth val="0"/>
        <c:axId val="1409958191"/>
        <c:axId val="1371302415"/>
      </c:lineChart>
      <c:catAx>
        <c:axId val="140995819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1371302415"/>
        <c:crosses val="autoZero"/>
        <c:auto val="1"/>
        <c:lblAlgn val="ctr"/>
        <c:lblOffset val="100"/>
        <c:noMultiLvlLbl val="0"/>
      </c:catAx>
      <c:valAx>
        <c:axId val="1371302415"/>
        <c:scaling>
          <c:orientation val="minMax"/>
          <c:min val="400"/>
        </c:scaling>
        <c:delete val="1"/>
        <c:axPos val="l"/>
        <c:numFmt formatCode="General" sourceLinked="1"/>
        <c:majorTickMark val="none"/>
        <c:minorTickMark val="none"/>
        <c:tickLblPos val="nextTo"/>
        <c:crossAx val="1409958191"/>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GB" b="1" cap="none"/>
              <a:t>No. of non-appeal lodgments in Magistrates Court </a:t>
            </a: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ndard"/>
        <c:varyColors val="0"/>
        <c:ser>
          <c:idx val="0"/>
          <c:order val="0"/>
          <c:tx>
            <c:strRef>
              <c:f>Sheet1!$B$253</c:f>
              <c:strCache>
                <c:ptCount val="1"/>
                <c:pt idx="0">
                  <c:v>Criminal </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Sheet1!$A$254:$A$263</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Sheet1!$B$254:$B$263</c:f>
              <c:numCache>
                <c:formatCode>#,##0</c:formatCode>
                <c:ptCount val="10"/>
                <c:pt idx="0">
                  <c:v>17664</c:v>
                </c:pt>
                <c:pt idx="1">
                  <c:v>18061</c:v>
                </c:pt>
                <c:pt idx="2">
                  <c:v>18187</c:v>
                </c:pt>
                <c:pt idx="3">
                  <c:v>16641</c:v>
                </c:pt>
                <c:pt idx="4">
                  <c:v>16253</c:v>
                </c:pt>
                <c:pt idx="5">
                  <c:v>14953</c:v>
                </c:pt>
                <c:pt idx="6">
                  <c:v>14146</c:v>
                </c:pt>
                <c:pt idx="7">
                  <c:v>14436</c:v>
                </c:pt>
                <c:pt idx="8">
                  <c:v>15109</c:v>
                </c:pt>
                <c:pt idx="9">
                  <c:v>17339</c:v>
                </c:pt>
              </c:numCache>
            </c:numRef>
          </c:val>
          <c:smooth val="0"/>
          <c:extLst>
            <c:ext xmlns:c16="http://schemas.microsoft.com/office/drawing/2014/chart" uri="{C3380CC4-5D6E-409C-BE32-E72D297353CC}">
              <c16:uniqueId val="{00000000-936A-1D4C-86C5-73CC74A792B2}"/>
            </c:ext>
          </c:extLst>
        </c:ser>
        <c:ser>
          <c:idx val="1"/>
          <c:order val="1"/>
          <c:tx>
            <c:strRef>
              <c:f>Sheet1!$C$253</c:f>
              <c:strCache>
                <c:ptCount val="1"/>
                <c:pt idx="0">
                  <c:v>Civil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Sheet1!$A$254:$A$263</c:f>
              <c:strCache>
                <c:ptCount val="10"/>
                <c:pt idx="0">
                  <c:v>2015-16</c:v>
                </c:pt>
                <c:pt idx="1">
                  <c:v>2016-17</c:v>
                </c:pt>
                <c:pt idx="2">
                  <c:v>2017-18</c:v>
                </c:pt>
                <c:pt idx="3">
                  <c:v>2018-19</c:v>
                </c:pt>
                <c:pt idx="4">
                  <c:v>2019-20</c:v>
                </c:pt>
                <c:pt idx="5">
                  <c:v>2020-21</c:v>
                </c:pt>
                <c:pt idx="6">
                  <c:v>2021-22</c:v>
                </c:pt>
                <c:pt idx="7">
                  <c:v>2022-23</c:v>
                </c:pt>
                <c:pt idx="8">
                  <c:v>2023-24</c:v>
                </c:pt>
                <c:pt idx="9">
                  <c:v>2024-25</c:v>
                </c:pt>
              </c:strCache>
            </c:strRef>
          </c:cat>
          <c:val>
            <c:numRef>
              <c:f>Sheet1!$C$254:$C$263</c:f>
              <c:numCache>
                <c:formatCode>General</c:formatCode>
                <c:ptCount val="10"/>
                <c:pt idx="0">
                  <c:v>6106</c:v>
                </c:pt>
                <c:pt idx="1">
                  <c:v>5880</c:v>
                </c:pt>
                <c:pt idx="2">
                  <c:v>5806</c:v>
                </c:pt>
                <c:pt idx="3">
                  <c:v>6038</c:v>
                </c:pt>
                <c:pt idx="4">
                  <c:v>5188</c:v>
                </c:pt>
                <c:pt idx="5">
                  <c:v>4716</c:v>
                </c:pt>
                <c:pt idx="6">
                  <c:v>4981</c:v>
                </c:pt>
                <c:pt idx="7">
                  <c:v>5534</c:v>
                </c:pt>
                <c:pt idx="8">
                  <c:v>6199</c:v>
                </c:pt>
                <c:pt idx="9">
                  <c:v>6625</c:v>
                </c:pt>
              </c:numCache>
            </c:numRef>
          </c:val>
          <c:smooth val="0"/>
          <c:extLst>
            <c:ext xmlns:c16="http://schemas.microsoft.com/office/drawing/2014/chart" uri="{C3380CC4-5D6E-409C-BE32-E72D297353CC}">
              <c16:uniqueId val="{00000001-936A-1D4C-86C5-73CC74A792B2}"/>
            </c:ext>
          </c:extLst>
        </c:ser>
        <c:dLbls>
          <c:dLblPos val="ctr"/>
          <c:showLegendKey val="0"/>
          <c:showVal val="1"/>
          <c:showCatName val="0"/>
          <c:showSerName val="0"/>
          <c:showPercent val="0"/>
          <c:showBubbleSize val="0"/>
        </c:dLbls>
        <c:marker val="1"/>
        <c:smooth val="0"/>
        <c:axId val="1442881119"/>
        <c:axId val="1328726159"/>
      </c:lineChart>
      <c:catAx>
        <c:axId val="144288111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1328726159"/>
        <c:crosses val="autoZero"/>
        <c:auto val="1"/>
        <c:lblAlgn val="ctr"/>
        <c:lblOffset val="100"/>
        <c:noMultiLvlLbl val="0"/>
      </c:catAx>
      <c:valAx>
        <c:axId val="1328726159"/>
        <c:scaling>
          <c:orientation val="minMax"/>
        </c:scaling>
        <c:delete val="1"/>
        <c:axPos val="l"/>
        <c:numFmt formatCode="#,##0" sourceLinked="1"/>
        <c:majorTickMark val="none"/>
        <c:minorTickMark val="none"/>
        <c:tickLblPos val="nextTo"/>
        <c:crossAx val="1442881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10</Pages>
  <Words>2292</Words>
  <Characters>13071</Characters>
  <Application>Microsoft Office Word</Application>
  <DocSecurity>0</DocSecurity>
  <Lines>108</Lines>
  <Paragraphs>30</Paragraphs>
  <ScaleCrop>false</ScaleCrop>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Bartl</dc:creator>
  <cp:keywords/>
  <dc:description/>
  <cp:lastModifiedBy>Benedict Bartl</cp:lastModifiedBy>
  <cp:revision>27</cp:revision>
  <cp:lastPrinted>2026-04-15T10:03:00Z</cp:lastPrinted>
  <dcterms:created xsi:type="dcterms:W3CDTF">2026-04-10T15:21:00Z</dcterms:created>
  <dcterms:modified xsi:type="dcterms:W3CDTF">2026-07-12T09:22:00Z</dcterms:modified>
</cp:coreProperties>
</file>