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C026" w14:textId="77777777" w:rsidR="001A636C" w:rsidRDefault="001A636C" w:rsidP="001A636C">
      <w:pPr>
        <w:pStyle w:val="NoSpacing"/>
        <w:jc w:val="center"/>
        <w:rPr>
          <w:rFonts w:ascii="Cambria" w:hAnsi="Cambria"/>
          <w:sz w:val="24"/>
          <w:szCs w:val="24"/>
        </w:rPr>
      </w:pPr>
      <w:r w:rsidRPr="00BC0D6B">
        <w:rPr>
          <w:noProof/>
          <w:sz w:val="20"/>
          <w:szCs w:val="20"/>
        </w:rPr>
        <w:drawing>
          <wp:inline distT="0" distB="0" distL="0" distR="0" wp14:anchorId="2839F914" wp14:editId="53154F14">
            <wp:extent cx="3235960" cy="1099476"/>
            <wp:effectExtent l="0" t="0" r="0" b="0"/>
            <wp:docPr id="5"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7972" cy="1100160"/>
                    </a:xfrm>
                    <a:prstGeom prst="rect">
                      <a:avLst/>
                    </a:prstGeom>
                    <a:noFill/>
                    <a:ln>
                      <a:noFill/>
                    </a:ln>
                  </pic:spPr>
                </pic:pic>
              </a:graphicData>
            </a:graphic>
          </wp:inline>
        </w:drawing>
      </w:r>
    </w:p>
    <w:p w14:paraId="2183D738" w14:textId="77777777" w:rsidR="001A636C" w:rsidRDefault="001A636C" w:rsidP="001A636C">
      <w:pPr>
        <w:pStyle w:val="NoSpacing"/>
        <w:rPr>
          <w:rFonts w:ascii="Cambria" w:hAnsi="Cambria"/>
          <w:sz w:val="24"/>
          <w:szCs w:val="24"/>
        </w:rPr>
      </w:pPr>
    </w:p>
    <w:p w14:paraId="2214A5B3" w14:textId="77777777" w:rsidR="008F6D53" w:rsidRPr="008F6D53" w:rsidRDefault="008F6D53" w:rsidP="001A636C">
      <w:pPr>
        <w:pStyle w:val="NoSpacing"/>
        <w:rPr>
          <w:rFonts w:ascii="Cambria" w:hAnsi="Cambria"/>
          <w:sz w:val="24"/>
          <w:szCs w:val="24"/>
        </w:rPr>
      </w:pPr>
    </w:p>
    <w:p w14:paraId="59E442DA" w14:textId="7906DB5F" w:rsidR="001A636C" w:rsidRPr="008F6D53" w:rsidRDefault="008F6D53" w:rsidP="001A636C">
      <w:pPr>
        <w:pStyle w:val="NoSpacing"/>
        <w:rPr>
          <w:rFonts w:ascii="Cambria" w:hAnsi="Cambria"/>
          <w:sz w:val="24"/>
          <w:szCs w:val="24"/>
        </w:rPr>
      </w:pPr>
      <w:r w:rsidRPr="008F6D53">
        <w:rPr>
          <w:rFonts w:ascii="Cambria" w:hAnsi="Cambria"/>
          <w:sz w:val="24"/>
          <w:szCs w:val="24"/>
        </w:rPr>
        <w:t>17</w:t>
      </w:r>
      <w:r w:rsidR="001A636C" w:rsidRPr="008F6D53">
        <w:rPr>
          <w:rFonts w:ascii="Cambria" w:hAnsi="Cambria"/>
          <w:sz w:val="24"/>
          <w:szCs w:val="24"/>
        </w:rPr>
        <w:t xml:space="preserve"> </w:t>
      </w:r>
      <w:r w:rsidR="003D3B44" w:rsidRPr="008F6D53">
        <w:rPr>
          <w:rFonts w:ascii="Cambria" w:hAnsi="Cambria"/>
          <w:sz w:val="24"/>
          <w:szCs w:val="24"/>
        </w:rPr>
        <w:t>April</w:t>
      </w:r>
      <w:r w:rsidR="001A636C" w:rsidRPr="008F6D53">
        <w:rPr>
          <w:rFonts w:ascii="Cambria" w:hAnsi="Cambria"/>
          <w:sz w:val="24"/>
          <w:szCs w:val="24"/>
        </w:rPr>
        <w:t xml:space="preserve"> 202</w:t>
      </w:r>
      <w:r w:rsidR="003D3B44" w:rsidRPr="008F6D53">
        <w:rPr>
          <w:rFonts w:ascii="Cambria" w:hAnsi="Cambria"/>
          <w:sz w:val="24"/>
          <w:szCs w:val="24"/>
        </w:rPr>
        <w:t>6</w:t>
      </w:r>
    </w:p>
    <w:p w14:paraId="24E5984A" w14:textId="77777777" w:rsidR="001A636C" w:rsidRPr="008F6D53" w:rsidRDefault="001A636C" w:rsidP="001A636C">
      <w:pPr>
        <w:pStyle w:val="NoSpacing"/>
        <w:rPr>
          <w:rFonts w:ascii="Cambria" w:hAnsi="Cambria"/>
          <w:sz w:val="24"/>
          <w:szCs w:val="24"/>
        </w:rPr>
      </w:pPr>
    </w:p>
    <w:p w14:paraId="1710025D" w14:textId="77777777" w:rsidR="001A636C" w:rsidRPr="008F6D53" w:rsidRDefault="001A636C" w:rsidP="001A636C">
      <w:pPr>
        <w:pStyle w:val="NoSpacing"/>
        <w:rPr>
          <w:rFonts w:ascii="Cambria" w:hAnsi="Cambria"/>
          <w:sz w:val="24"/>
          <w:szCs w:val="24"/>
        </w:rPr>
      </w:pPr>
      <w:r w:rsidRPr="008F6D53">
        <w:rPr>
          <w:rFonts w:ascii="Cambria" w:hAnsi="Cambria"/>
          <w:sz w:val="24"/>
          <w:szCs w:val="24"/>
        </w:rPr>
        <w:t>Department of Justice</w:t>
      </w:r>
    </w:p>
    <w:p w14:paraId="5C375518" w14:textId="77777777" w:rsidR="001A636C" w:rsidRPr="008F6D53" w:rsidRDefault="001A636C" w:rsidP="001A636C">
      <w:pPr>
        <w:pStyle w:val="NoSpacing"/>
        <w:rPr>
          <w:rFonts w:ascii="Cambria" w:hAnsi="Cambria"/>
          <w:sz w:val="24"/>
          <w:szCs w:val="24"/>
        </w:rPr>
      </w:pPr>
      <w:r w:rsidRPr="008F6D53">
        <w:rPr>
          <w:rFonts w:ascii="Cambria" w:hAnsi="Cambria"/>
          <w:sz w:val="24"/>
          <w:szCs w:val="24"/>
        </w:rPr>
        <w:t>Office of the Secretary</w:t>
      </w:r>
    </w:p>
    <w:p w14:paraId="51C8531C" w14:textId="77777777" w:rsidR="001A636C" w:rsidRPr="008F6D53" w:rsidRDefault="001A636C" w:rsidP="001A636C">
      <w:pPr>
        <w:pStyle w:val="NoSpacing"/>
        <w:rPr>
          <w:rFonts w:ascii="Cambria" w:hAnsi="Cambria"/>
          <w:sz w:val="24"/>
          <w:szCs w:val="24"/>
        </w:rPr>
      </w:pPr>
      <w:r w:rsidRPr="008F6D53">
        <w:rPr>
          <w:rFonts w:ascii="Cambria" w:hAnsi="Cambria"/>
          <w:sz w:val="24"/>
          <w:szCs w:val="24"/>
        </w:rPr>
        <w:t>GPO Box 825</w:t>
      </w:r>
    </w:p>
    <w:p w14:paraId="2BFB66A1" w14:textId="77777777" w:rsidR="008F6D53" w:rsidRDefault="001A636C" w:rsidP="008F6D53">
      <w:pPr>
        <w:pStyle w:val="NoSpacing"/>
        <w:rPr>
          <w:rFonts w:ascii="Cambria" w:hAnsi="Cambria"/>
          <w:sz w:val="24"/>
          <w:szCs w:val="24"/>
        </w:rPr>
      </w:pPr>
      <w:r w:rsidRPr="008F6D53">
        <w:rPr>
          <w:rFonts w:ascii="Cambria" w:hAnsi="Cambria"/>
          <w:sz w:val="24"/>
          <w:szCs w:val="24"/>
        </w:rPr>
        <w:t>Hobart TAS 7001</w:t>
      </w:r>
      <w:r w:rsidR="008F6D53">
        <w:rPr>
          <w:rFonts w:ascii="Cambria" w:hAnsi="Cambria"/>
          <w:sz w:val="24"/>
          <w:szCs w:val="24"/>
        </w:rPr>
        <w:tab/>
      </w:r>
      <w:r w:rsidR="008F6D53">
        <w:rPr>
          <w:rFonts w:ascii="Cambria" w:hAnsi="Cambria"/>
          <w:sz w:val="24"/>
          <w:szCs w:val="24"/>
        </w:rPr>
        <w:tab/>
      </w:r>
      <w:r w:rsidR="008F6D53">
        <w:rPr>
          <w:rFonts w:ascii="Cambria" w:hAnsi="Cambria"/>
          <w:sz w:val="24"/>
          <w:szCs w:val="24"/>
        </w:rPr>
        <w:tab/>
      </w:r>
    </w:p>
    <w:p w14:paraId="781A033A" w14:textId="669D02DB" w:rsidR="001A636C" w:rsidRPr="008F6D53" w:rsidRDefault="001A636C" w:rsidP="008F6D53">
      <w:pPr>
        <w:pStyle w:val="NoSpacing"/>
        <w:ind w:left="2160" w:firstLine="720"/>
        <w:rPr>
          <w:rFonts w:ascii="Cambria" w:hAnsi="Cambria"/>
          <w:sz w:val="24"/>
          <w:szCs w:val="24"/>
        </w:rPr>
      </w:pPr>
      <w:r w:rsidRPr="008F6D53">
        <w:rPr>
          <w:rFonts w:ascii="Cambria" w:hAnsi="Cambria"/>
          <w:i/>
          <w:iCs/>
          <w:sz w:val="24"/>
          <w:szCs w:val="24"/>
        </w:rPr>
        <w:t xml:space="preserve">via email: </w:t>
      </w:r>
      <w:hyperlink r:id="rId8" w:history="1">
        <w:r w:rsidRPr="008F6D53">
          <w:rPr>
            <w:rFonts w:ascii="Cambria" w:hAnsi="Cambria" w:cs="Segoe UI"/>
            <w:i/>
            <w:iCs/>
            <w:color w:val="0000FF"/>
            <w:sz w:val="24"/>
            <w:szCs w:val="24"/>
            <w:u w:val="single"/>
            <w:shd w:val="clear" w:color="auto" w:fill="FFFFFF"/>
            <w:lang w:eastAsia="en-GB"/>
          </w:rPr>
          <w:t>haveyoursay@justice.tas.gov.au</w:t>
        </w:r>
      </w:hyperlink>
    </w:p>
    <w:p w14:paraId="18FAC308" w14:textId="77777777" w:rsidR="001A636C" w:rsidRPr="008F6D53" w:rsidRDefault="001A636C" w:rsidP="001A636C">
      <w:pPr>
        <w:pStyle w:val="NoSpacing"/>
        <w:rPr>
          <w:rFonts w:ascii="Cambria" w:hAnsi="Cambria"/>
          <w:sz w:val="24"/>
          <w:szCs w:val="24"/>
        </w:rPr>
      </w:pPr>
    </w:p>
    <w:p w14:paraId="6718C03A" w14:textId="790C6A72" w:rsidR="001A636C" w:rsidRPr="008F6D53" w:rsidRDefault="001A636C" w:rsidP="001A636C">
      <w:pPr>
        <w:pStyle w:val="NoSpacing"/>
        <w:rPr>
          <w:rFonts w:ascii="Cambria" w:hAnsi="Cambria"/>
          <w:sz w:val="24"/>
          <w:szCs w:val="24"/>
        </w:rPr>
      </w:pPr>
      <w:r w:rsidRPr="008F6D53">
        <w:rPr>
          <w:rFonts w:ascii="Cambria" w:hAnsi="Cambria"/>
          <w:sz w:val="24"/>
          <w:szCs w:val="24"/>
        </w:rPr>
        <w:t xml:space="preserve">To </w:t>
      </w:r>
      <w:r w:rsidR="003D3B44" w:rsidRPr="008F6D53">
        <w:rPr>
          <w:rFonts w:ascii="Cambria" w:hAnsi="Cambria"/>
          <w:sz w:val="24"/>
          <w:szCs w:val="24"/>
        </w:rPr>
        <w:t>the Department of Justice</w:t>
      </w:r>
      <w:r w:rsidRPr="008F6D53">
        <w:rPr>
          <w:rFonts w:ascii="Cambria" w:hAnsi="Cambria"/>
          <w:sz w:val="24"/>
          <w:szCs w:val="24"/>
        </w:rPr>
        <w:t xml:space="preserve">, </w:t>
      </w:r>
    </w:p>
    <w:p w14:paraId="3B93655C" w14:textId="384DED45" w:rsidR="001A636C" w:rsidRPr="008F6D53" w:rsidRDefault="001A636C" w:rsidP="001A636C">
      <w:pPr>
        <w:pStyle w:val="NoSpacing"/>
        <w:rPr>
          <w:rFonts w:ascii="Cambria" w:hAnsi="Cambria"/>
          <w:sz w:val="24"/>
          <w:szCs w:val="24"/>
          <w:lang w:eastAsia="en-GB"/>
        </w:rPr>
      </w:pPr>
      <w:r w:rsidRPr="008F6D53">
        <w:rPr>
          <w:rFonts w:ascii="Cambria" w:hAnsi="Cambria"/>
          <w:b/>
          <w:bCs/>
          <w:noProof/>
          <w:sz w:val="24"/>
          <w:szCs w:val="24"/>
        </w:rPr>
        <mc:AlternateContent>
          <mc:Choice Requires="wps">
            <w:drawing>
              <wp:anchor distT="0" distB="0" distL="114300" distR="114300" simplePos="0" relativeHeight="251659264" behindDoc="0" locked="0" layoutInCell="1" allowOverlap="1" wp14:anchorId="738791CC" wp14:editId="32F12FA7">
                <wp:simplePos x="0" y="0"/>
                <wp:positionH relativeFrom="column">
                  <wp:posOffset>-7620</wp:posOffset>
                </wp:positionH>
                <wp:positionV relativeFrom="paragraph">
                  <wp:posOffset>237490</wp:posOffset>
                </wp:positionV>
                <wp:extent cx="60502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a:off x="0" y="0"/>
                          <a:ext cx="605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ED5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8.7pt" to="475.8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" strokecolor="black [3200]" strokeweight=".5pt">
                <v:stroke joinstyle="miter"/>
              </v:line>
            </w:pict>
          </mc:Fallback>
        </mc:AlternateContent>
      </w:r>
      <w:r w:rsidRPr="008F6D53">
        <w:rPr>
          <w:rFonts w:ascii="Cambria" w:hAnsi="Cambria"/>
          <w:b/>
          <w:bCs/>
          <w:sz w:val="24"/>
          <w:szCs w:val="24"/>
        </w:rPr>
        <w:t xml:space="preserve">Re: </w:t>
      </w:r>
      <w:r w:rsidRPr="008F6D53">
        <w:rPr>
          <w:rFonts w:ascii="Cambria" w:hAnsi="Cambria"/>
          <w:b/>
          <w:bCs/>
          <w:i/>
          <w:iCs/>
          <w:sz w:val="24"/>
          <w:szCs w:val="24"/>
        </w:rPr>
        <w:t>Monetary Penalties Enforcement Amendment Bill 202</w:t>
      </w:r>
      <w:r w:rsidR="003D3B44" w:rsidRPr="008F6D53">
        <w:rPr>
          <w:rFonts w:ascii="Cambria" w:hAnsi="Cambria"/>
          <w:b/>
          <w:bCs/>
          <w:i/>
          <w:iCs/>
          <w:sz w:val="24"/>
          <w:szCs w:val="24"/>
        </w:rPr>
        <w:t>6</w:t>
      </w:r>
    </w:p>
    <w:p w14:paraId="20A450AB" w14:textId="77777777" w:rsidR="001A636C" w:rsidRPr="008F6D53" w:rsidRDefault="001A636C" w:rsidP="001A636C">
      <w:pPr>
        <w:pStyle w:val="NoSpacing"/>
        <w:rPr>
          <w:rFonts w:ascii="Cambria" w:hAnsi="Cambria"/>
          <w:b/>
          <w:bCs/>
          <w:sz w:val="24"/>
          <w:szCs w:val="24"/>
        </w:rPr>
      </w:pPr>
    </w:p>
    <w:p w14:paraId="33555171" w14:textId="15BB3F41" w:rsidR="003D3B44" w:rsidRPr="008F6D53" w:rsidRDefault="001A636C" w:rsidP="00DC1DF9">
      <w:pPr>
        <w:pStyle w:val="NoSpacing"/>
        <w:jc w:val="both"/>
        <w:rPr>
          <w:rFonts w:ascii="Cambria" w:hAnsi="Cambria"/>
          <w:color w:val="000000" w:themeColor="text1"/>
          <w:sz w:val="24"/>
          <w:szCs w:val="24"/>
        </w:rPr>
      </w:pPr>
      <w:r w:rsidRPr="008F6D53">
        <w:rPr>
          <w:rFonts w:ascii="Cambria" w:hAnsi="Cambria"/>
          <w:color w:val="000000" w:themeColor="text1"/>
          <w:sz w:val="24"/>
          <w:szCs w:val="24"/>
        </w:rPr>
        <w:t>Community Legal Centres Tasmania (CLC Tas) welcomes the opportunity to provide comment</w:t>
      </w:r>
      <w:r w:rsidR="003D3B44" w:rsidRPr="008F6D53">
        <w:rPr>
          <w:rFonts w:ascii="Cambria" w:hAnsi="Cambria"/>
          <w:color w:val="000000" w:themeColor="text1"/>
          <w:sz w:val="24"/>
          <w:szCs w:val="24"/>
        </w:rPr>
        <w:t xml:space="preserve"> </w:t>
      </w:r>
      <w:r w:rsidRPr="008F6D53">
        <w:rPr>
          <w:rFonts w:ascii="Cambria" w:hAnsi="Cambria"/>
          <w:color w:val="000000" w:themeColor="text1"/>
          <w:sz w:val="24"/>
          <w:szCs w:val="24"/>
        </w:rPr>
        <w:t xml:space="preserve">on the </w:t>
      </w:r>
      <w:r w:rsidRPr="008F6D53">
        <w:rPr>
          <w:rFonts w:ascii="Cambria" w:hAnsi="Cambria"/>
          <w:i/>
          <w:iCs/>
          <w:color w:val="000000" w:themeColor="text1"/>
          <w:sz w:val="24"/>
          <w:szCs w:val="24"/>
        </w:rPr>
        <w:t>Monetary Penalties Enforcement Amendment Bill 202</w:t>
      </w:r>
      <w:r w:rsidR="003D3B44" w:rsidRPr="008F6D53">
        <w:rPr>
          <w:rFonts w:ascii="Cambria" w:hAnsi="Cambria"/>
          <w:i/>
          <w:iCs/>
          <w:color w:val="000000" w:themeColor="text1"/>
          <w:sz w:val="24"/>
          <w:szCs w:val="24"/>
        </w:rPr>
        <w:t>6</w:t>
      </w:r>
      <w:r w:rsidRPr="008F6D53">
        <w:rPr>
          <w:rFonts w:ascii="Cambria" w:hAnsi="Cambria"/>
          <w:i/>
          <w:iCs/>
          <w:color w:val="000000" w:themeColor="text1"/>
          <w:sz w:val="24"/>
          <w:szCs w:val="24"/>
        </w:rPr>
        <w:t xml:space="preserve"> </w:t>
      </w:r>
      <w:r w:rsidRPr="008F6D53">
        <w:rPr>
          <w:rFonts w:ascii="Cambria" w:hAnsi="Cambria"/>
          <w:color w:val="000000" w:themeColor="text1"/>
          <w:sz w:val="24"/>
          <w:szCs w:val="24"/>
        </w:rPr>
        <w:t>(‘the Bill’).</w:t>
      </w:r>
      <w:r w:rsidR="00DC1DF9" w:rsidRPr="008F6D53">
        <w:rPr>
          <w:rStyle w:val="FootnoteReference"/>
          <w:rFonts w:ascii="Cambria" w:eastAsiaTheme="majorEastAsia" w:hAnsi="Cambria"/>
          <w:iCs/>
          <w:color w:val="000000" w:themeColor="text1"/>
          <w:sz w:val="24"/>
          <w:szCs w:val="24"/>
        </w:rPr>
        <w:footnoteReference w:id="1"/>
      </w:r>
      <w:r w:rsidR="003D3B44" w:rsidRPr="008F6D53">
        <w:rPr>
          <w:rFonts w:ascii="Cambria" w:hAnsi="Cambria"/>
          <w:color w:val="000000" w:themeColor="text1"/>
          <w:sz w:val="24"/>
          <w:szCs w:val="24"/>
        </w:rPr>
        <w:t xml:space="preserve"> We </w:t>
      </w:r>
      <w:r w:rsidR="00B358FB" w:rsidRPr="008F6D53">
        <w:rPr>
          <w:rFonts w:ascii="Cambria" w:hAnsi="Cambria"/>
          <w:color w:val="000000" w:themeColor="text1"/>
          <w:sz w:val="24"/>
          <w:szCs w:val="24"/>
        </w:rPr>
        <w:t>welcome</w:t>
      </w:r>
      <w:r w:rsidR="003D3B44" w:rsidRPr="008F6D53">
        <w:rPr>
          <w:rFonts w:ascii="Cambria" w:hAnsi="Cambria"/>
          <w:color w:val="000000" w:themeColor="text1"/>
          <w:sz w:val="24"/>
          <w:szCs w:val="24"/>
        </w:rPr>
        <w:t xml:space="preserve"> the Tasmanian Government’s intention to </w:t>
      </w:r>
      <w:r w:rsidR="00DC1DF9" w:rsidRPr="008F6D53">
        <w:rPr>
          <w:rFonts w:ascii="Cambria" w:hAnsi="Cambria"/>
          <w:color w:val="000000" w:themeColor="text1"/>
          <w:sz w:val="24"/>
          <w:szCs w:val="24"/>
        </w:rPr>
        <w:t>improve the efficiency and effectiveness of the collection of court fines, infringement notices and compensation for victims of crime in Tasmania.</w:t>
      </w:r>
      <w:r w:rsidR="00B358FB" w:rsidRPr="008F6D53">
        <w:rPr>
          <w:rFonts w:ascii="Cambria" w:hAnsi="Cambria"/>
          <w:color w:val="000000" w:themeColor="text1"/>
          <w:sz w:val="24"/>
          <w:szCs w:val="24"/>
        </w:rPr>
        <w:t xml:space="preserve"> Our submission seeks to address three issues, namely external review of decision-making, the lack of alternatives to payment of monetary penalties and the ability of banks to deduct funds from a debtor’s account/s. Finally, we call for a review of the way in which Tasmanians are fined.        </w:t>
      </w:r>
      <w:r w:rsidR="00DC1DF9" w:rsidRPr="008F6D53">
        <w:rPr>
          <w:rFonts w:ascii="Cambria" w:hAnsi="Cambria"/>
          <w:color w:val="000000" w:themeColor="text1"/>
          <w:sz w:val="24"/>
          <w:szCs w:val="24"/>
        </w:rPr>
        <w:t xml:space="preserve"> </w:t>
      </w:r>
    </w:p>
    <w:p w14:paraId="48D951BA" w14:textId="77777777" w:rsidR="001A636C" w:rsidRPr="008F6D53" w:rsidRDefault="001A636C" w:rsidP="001A636C">
      <w:pPr>
        <w:pStyle w:val="NoSpacing"/>
        <w:jc w:val="both"/>
        <w:rPr>
          <w:rFonts w:ascii="Cambria" w:hAnsi="Cambria"/>
          <w:sz w:val="24"/>
          <w:szCs w:val="24"/>
        </w:rPr>
      </w:pPr>
    </w:p>
    <w:p w14:paraId="54212F2D" w14:textId="77777777" w:rsidR="001A636C" w:rsidRPr="008F6D53" w:rsidRDefault="001A636C" w:rsidP="001A636C">
      <w:pPr>
        <w:pStyle w:val="NoSpacing"/>
        <w:jc w:val="both"/>
        <w:rPr>
          <w:rFonts w:ascii="Cambria" w:hAnsi="Cambria"/>
          <w:sz w:val="24"/>
          <w:szCs w:val="24"/>
        </w:rPr>
      </w:pPr>
      <w:r w:rsidRPr="008F6D53">
        <w:rPr>
          <w:rFonts w:ascii="Cambria" w:hAnsi="Cambria"/>
          <w:sz w:val="24"/>
          <w:szCs w:val="24"/>
        </w:rPr>
        <w:t xml:space="preserve">CLC Tas is the peak body representing the interests of nine community legal centres (CLCs) located through Tasmania. We are a member-based, independent, not-for-profit and incorporated organisation that advocates for law reform on a range of public interest matters aimed at improving access to justice, reducing discrimination and protecting and promoting human rights. </w:t>
      </w:r>
    </w:p>
    <w:p w14:paraId="3F7340ED" w14:textId="77777777" w:rsidR="00FC79AA" w:rsidRPr="008F6D53" w:rsidRDefault="00FC79AA" w:rsidP="003D3B44">
      <w:pPr>
        <w:jc w:val="both"/>
        <w:rPr>
          <w:rFonts w:ascii="Cambria" w:hAnsi="Cambria"/>
          <w:b/>
          <w:bCs/>
        </w:rPr>
      </w:pPr>
    </w:p>
    <w:p w14:paraId="7A8A17A3" w14:textId="0BC5D46E" w:rsidR="003D3B44" w:rsidRPr="008F6D53" w:rsidRDefault="003D3B44" w:rsidP="003D3B44">
      <w:pPr>
        <w:jc w:val="both"/>
        <w:rPr>
          <w:rFonts w:ascii="Cambria" w:hAnsi="Cambria"/>
          <w:b/>
          <w:bCs/>
        </w:rPr>
      </w:pPr>
      <w:r w:rsidRPr="008F6D53">
        <w:rPr>
          <w:rFonts w:ascii="Cambria" w:hAnsi="Cambria"/>
          <w:b/>
          <w:bCs/>
        </w:rPr>
        <w:t>BACKGROUND</w:t>
      </w:r>
    </w:p>
    <w:p w14:paraId="5C488033" w14:textId="37BC52A8" w:rsidR="003D3B44" w:rsidRPr="008F6D53" w:rsidRDefault="003D3B44" w:rsidP="003D3B44">
      <w:pPr>
        <w:jc w:val="both"/>
        <w:rPr>
          <w:rFonts w:ascii="Cambria" w:hAnsi="Cambria"/>
        </w:rPr>
      </w:pPr>
      <w:r w:rsidRPr="008F6D53">
        <w:rPr>
          <w:rFonts w:ascii="Cambria" w:hAnsi="Cambria"/>
        </w:rPr>
        <w:t xml:space="preserve">Over the last five years the collection rate for infringement notices and court fines </w:t>
      </w:r>
      <w:r w:rsidR="00DC1DF9" w:rsidRPr="008F6D53">
        <w:rPr>
          <w:rFonts w:ascii="Cambria" w:hAnsi="Cambria"/>
        </w:rPr>
        <w:t xml:space="preserve">to the Monetary Penalties and Enforcement Service (MPES) </w:t>
      </w:r>
      <w:r w:rsidRPr="008F6D53">
        <w:rPr>
          <w:rFonts w:ascii="Cambria" w:hAnsi="Cambria"/>
        </w:rPr>
        <w:t>has dropped. Whilst most infringement notices and court fines are being paid (around 9 out of 10) the collection rate has dropped from 115</w:t>
      </w:r>
      <w:r w:rsidR="0033344F" w:rsidRPr="008F6D53">
        <w:rPr>
          <w:rFonts w:ascii="Cambria" w:hAnsi="Cambria"/>
        </w:rPr>
        <w:t xml:space="preserve"> per cent</w:t>
      </w:r>
      <w:r w:rsidRPr="008F6D53">
        <w:rPr>
          <w:rFonts w:ascii="Cambria" w:hAnsi="Cambria"/>
        </w:rPr>
        <w:t xml:space="preserve"> to 88</w:t>
      </w:r>
      <w:r w:rsidR="0033344F" w:rsidRPr="008F6D53">
        <w:rPr>
          <w:rFonts w:ascii="Cambria" w:hAnsi="Cambria"/>
        </w:rPr>
        <w:t xml:space="preserve"> per cent</w:t>
      </w:r>
      <w:r w:rsidRPr="008F6D53">
        <w:rPr>
          <w:rFonts w:ascii="Cambria" w:hAnsi="Cambria"/>
        </w:rPr>
        <w:t>.</w:t>
      </w:r>
      <w:r w:rsidR="0033344F" w:rsidRPr="008F6D53">
        <w:rPr>
          <w:rStyle w:val="FootnoteReference"/>
          <w:rFonts w:ascii="Cambria" w:hAnsi="Cambria"/>
        </w:rPr>
        <w:footnoteReference w:id="2"/>
      </w:r>
      <w:r w:rsidRPr="008F6D53">
        <w:rPr>
          <w:rFonts w:ascii="Cambria" w:hAnsi="Cambria"/>
        </w:rPr>
        <w:t xml:space="preserve"> </w:t>
      </w:r>
    </w:p>
    <w:p w14:paraId="2A985FEA" w14:textId="77777777" w:rsidR="008F6D53" w:rsidRDefault="008F6D53" w:rsidP="003D3B44">
      <w:pPr>
        <w:rPr>
          <w:rFonts w:ascii="Cambria" w:hAnsi="Cambria"/>
        </w:rPr>
      </w:pPr>
    </w:p>
    <w:p w14:paraId="720D8B9A" w14:textId="77777777" w:rsidR="008F6D53" w:rsidRDefault="008F6D53" w:rsidP="003D3B44">
      <w:pPr>
        <w:rPr>
          <w:rFonts w:ascii="Cambria" w:hAnsi="Cambria"/>
        </w:rPr>
      </w:pPr>
    </w:p>
    <w:p w14:paraId="1380C951" w14:textId="77777777" w:rsidR="008F6D53" w:rsidRDefault="008F6D53" w:rsidP="003D3B44">
      <w:pPr>
        <w:rPr>
          <w:rFonts w:ascii="Cambria" w:hAnsi="Cambria"/>
        </w:rPr>
      </w:pPr>
    </w:p>
    <w:p w14:paraId="7E9B9D2A" w14:textId="77777777" w:rsidR="008F6D53" w:rsidRDefault="008F6D53" w:rsidP="003D3B44">
      <w:pPr>
        <w:rPr>
          <w:rFonts w:ascii="Cambria" w:hAnsi="Cambria"/>
        </w:rPr>
      </w:pPr>
    </w:p>
    <w:p w14:paraId="3B3D7158" w14:textId="77777777" w:rsidR="008F6D53" w:rsidRDefault="008F6D53" w:rsidP="003D3B44">
      <w:pPr>
        <w:rPr>
          <w:rFonts w:ascii="Cambria" w:hAnsi="Cambria"/>
        </w:rPr>
      </w:pPr>
    </w:p>
    <w:p w14:paraId="7D770DD4" w14:textId="77777777" w:rsidR="008F6D53" w:rsidRDefault="008F6D53" w:rsidP="003D3B44">
      <w:pPr>
        <w:rPr>
          <w:rFonts w:ascii="Cambria" w:hAnsi="Cambria"/>
        </w:rPr>
      </w:pPr>
    </w:p>
    <w:p w14:paraId="78A462B2" w14:textId="77777777" w:rsidR="003D3B44" w:rsidRPr="008F6D53" w:rsidRDefault="003D3B44" w:rsidP="003D3B44">
      <w:pPr>
        <w:jc w:val="center"/>
        <w:rPr>
          <w:rFonts w:ascii="Cambria" w:hAnsi="Cambria"/>
          <w:b/>
          <w:bCs/>
        </w:rPr>
      </w:pPr>
      <w:r w:rsidRPr="008F6D53">
        <w:rPr>
          <w:rFonts w:ascii="Cambria" w:hAnsi="Cambria"/>
          <w:b/>
          <w:bCs/>
        </w:rPr>
        <w:lastRenderedPageBreak/>
        <w:t>Percentage of Fines/Infringement Notices paid</w:t>
      </w:r>
    </w:p>
    <w:tbl>
      <w:tblPr>
        <w:tblStyle w:val="TableGrid"/>
        <w:tblW w:w="0" w:type="auto"/>
        <w:jc w:val="center"/>
        <w:tblLook w:val="04A0" w:firstRow="1" w:lastRow="0" w:firstColumn="1" w:lastColumn="0" w:noHBand="0" w:noVBand="1"/>
      </w:tblPr>
      <w:tblGrid>
        <w:gridCol w:w="2263"/>
        <w:gridCol w:w="866"/>
        <w:gridCol w:w="866"/>
        <w:gridCol w:w="866"/>
        <w:gridCol w:w="866"/>
        <w:gridCol w:w="866"/>
      </w:tblGrid>
      <w:tr w:rsidR="003D3B44" w:rsidRPr="008F6D53" w14:paraId="243D8310" w14:textId="77777777" w:rsidTr="003D3B44">
        <w:trPr>
          <w:jc w:val="center"/>
        </w:trPr>
        <w:tc>
          <w:tcPr>
            <w:tcW w:w="2263" w:type="dxa"/>
          </w:tcPr>
          <w:p w14:paraId="556B3D46" w14:textId="77777777" w:rsidR="003D3B44" w:rsidRPr="008F6D53" w:rsidRDefault="003D3B44" w:rsidP="003D3B44">
            <w:pPr>
              <w:jc w:val="center"/>
              <w:rPr>
                <w:rFonts w:ascii="Cambria" w:hAnsi="Cambria"/>
              </w:rPr>
            </w:pPr>
          </w:p>
        </w:tc>
        <w:tc>
          <w:tcPr>
            <w:tcW w:w="776" w:type="dxa"/>
          </w:tcPr>
          <w:p w14:paraId="0E1A94F4" w14:textId="77777777" w:rsidR="003D3B44" w:rsidRPr="008F6D53" w:rsidRDefault="003D3B44" w:rsidP="003D3B44">
            <w:pPr>
              <w:jc w:val="center"/>
              <w:rPr>
                <w:rFonts w:ascii="Cambria" w:hAnsi="Cambria"/>
                <w:b/>
                <w:bCs/>
              </w:rPr>
            </w:pPr>
            <w:r w:rsidRPr="008F6D53">
              <w:rPr>
                <w:rFonts w:ascii="Cambria" w:hAnsi="Cambria"/>
                <w:b/>
                <w:bCs/>
              </w:rPr>
              <w:t>2020-21</w:t>
            </w:r>
          </w:p>
        </w:tc>
        <w:tc>
          <w:tcPr>
            <w:tcW w:w="851" w:type="dxa"/>
          </w:tcPr>
          <w:p w14:paraId="2CD1050C" w14:textId="77777777" w:rsidR="003D3B44" w:rsidRPr="008F6D53" w:rsidRDefault="003D3B44" w:rsidP="003D3B44">
            <w:pPr>
              <w:jc w:val="center"/>
              <w:rPr>
                <w:rFonts w:ascii="Cambria" w:hAnsi="Cambria"/>
                <w:b/>
                <w:bCs/>
              </w:rPr>
            </w:pPr>
            <w:r w:rsidRPr="008F6D53">
              <w:rPr>
                <w:rFonts w:ascii="Cambria" w:hAnsi="Cambria"/>
                <w:b/>
                <w:bCs/>
              </w:rPr>
              <w:t>2021-22</w:t>
            </w:r>
          </w:p>
        </w:tc>
        <w:tc>
          <w:tcPr>
            <w:tcW w:w="776" w:type="dxa"/>
          </w:tcPr>
          <w:p w14:paraId="69BB5DDF" w14:textId="77777777" w:rsidR="003D3B44" w:rsidRPr="008F6D53" w:rsidRDefault="003D3B44" w:rsidP="003D3B44">
            <w:pPr>
              <w:jc w:val="center"/>
              <w:rPr>
                <w:rFonts w:ascii="Cambria" w:hAnsi="Cambria"/>
                <w:b/>
                <w:bCs/>
              </w:rPr>
            </w:pPr>
            <w:r w:rsidRPr="008F6D53">
              <w:rPr>
                <w:rFonts w:ascii="Cambria" w:hAnsi="Cambria"/>
                <w:b/>
                <w:bCs/>
              </w:rPr>
              <w:t>2022-23</w:t>
            </w:r>
          </w:p>
        </w:tc>
        <w:tc>
          <w:tcPr>
            <w:tcW w:w="851" w:type="dxa"/>
          </w:tcPr>
          <w:p w14:paraId="540D1CE9" w14:textId="77777777" w:rsidR="003D3B44" w:rsidRPr="008F6D53" w:rsidRDefault="003D3B44" w:rsidP="003D3B44">
            <w:pPr>
              <w:jc w:val="center"/>
              <w:rPr>
                <w:rFonts w:ascii="Cambria" w:hAnsi="Cambria"/>
                <w:b/>
                <w:bCs/>
              </w:rPr>
            </w:pPr>
            <w:r w:rsidRPr="008F6D53">
              <w:rPr>
                <w:rFonts w:ascii="Cambria" w:hAnsi="Cambria"/>
                <w:b/>
                <w:bCs/>
              </w:rPr>
              <w:t>2023-24</w:t>
            </w:r>
          </w:p>
        </w:tc>
        <w:tc>
          <w:tcPr>
            <w:tcW w:w="776" w:type="dxa"/>
          </w:tcPr>
          <w:p w14:paraId="161AFBE0" w14:textId="77777777" w:rsidR="003D3B44" w:rsidRPr="008F6D53" w:rsidRDefault="003D3B44" w:rsidP="003D3B44">
            <w:pPr>
              <w:jc w:val="center"/>
              <w:rPr>
                <w:rFonts w:ascii="Cambria" w:hAnsi="Cambria"/>
                <w:b/>
                <w:bCs/>
              </w:rPr>
            </w:pPr>
            <w:r w:rsidRPr="008F6D53">
              <w:rPr>
                <w:rFonts w:ascii="Cambria" w:hAnsi="Cambria"/>
                <w:b/>
                <w:bCs/>
              </w:rPr>
              <w:t>2024-25</w:t>
            </w:r>
          </w:p>
        </w:tc>
      </w:tr>
      <w:tr w:rsidR="003D3B44" w:rsidRPr="008F6D53" w14:paraId="262913AE" w14:textId="77777777" w:rsidTr="003D3B44">
        <w:trPr>
          <w:jc w:val="center"/>
        </w:trPr>
        <w:tc>
          <w:tcPr>
            <w:tcW w:w="2263" w:type="dxa"/>
          </w:tcPr>
          <w:p w14:paraId="66D9C99D" w14:textId="77777777" w:rsidR="003D3B44" w:rsidRPr="008F6D53" w:rsidRDefault="003D3B44" w:rsidP="003D3B44">
            <w:pPr>
              <w:jc w:val="center"/>
              <w:rPr>
                <w:rFonts w:ascii="Cambria" w:hAnsi="Cambria"/>
                <w:b/>
                <w:bCs/>
              </w:rPr>
            </w:pPr>
            <w:r w:rsidRPr="008F6D53">
              <w:rPr>
                <w:rFonts w:ascii="Cambria" w:hAnsi="Cambria"/>
                <w:b/>
                <w:bCs/>
              </w:rPr>
              <w:t>Infringement Notices</w:t>
            </w:r>
          </w:p>
        </w:tc>
        <w:tc>
          <w:tcPr>
            <w:tcW w:w="776" w:type="dxa"/>
          </w:tcPr>
          <w:p w14:paraId="4C186CD8" w14:textId="77777777" w:rsidR="003D3B44" w:rsidRPr="008F6D53" w:rsidRDefault="003D3B44" w:rsidP="003D3B44">
            <w:pPr>
              <w:jc w:val="center"/>
              <w:rPr>
                <w:rFonts w:ascii="Cambria" w:hAnsi="Cambria"/>
              </w:rPr>
            </w:pPr>
            <w:r w:rsidRPr="008F6D53">
              <w:rPr>
                <w:rFonts w:ascii="Cambria" w:hAnsi="Cambria"/>
              </w:rPr>
              <w:t>115%</w:t>
            </w:r>
          </w:p>
        </w:tc>
        <w:tc>
          <w:tcPr>
            <w:tcW w:w="851" w:type="dxa"/>
          </w:tcPr>
          <w:p w14:paraId="60146805" w14:textId="77777777" w:rsidR="003D3B44" w:rsidRPr="008F6D53" w:rsidRDefault="003D3B44" w:rsidP="003D3B44">
            <w:pPr>
              <w:jc w:val="center"/>
              <w:rPr>
                <w:rFonts w:ascii="Cambria" w:hAnsi="Cambria"/>
              </w:rPr>
            </w:pPr>
            <w:r w:rsidRPr="008F6D53">
              <w:rPr>
                <w:rFonts w:ascii="Cambria" w:hAnsi="Cambria"/>
              </w:rPr>
              <w:t>100%</w:t>
            </w:r>
          </w:p>
        </w:tc>
        <w:tc>
          <w:tcPr>
            <w:tcW w:w="776" w:type="dxa"/>
          </w:tcPr>
          <w:p w14:paraId="09E76196" w14:textId="77777777" w:rsidR="003D3B44" w:rsidRPr="008F6D53" w:rsidRDefault="003D3B44" w:rsidP="003D3B44">
            <w:pPr>
              <w:jc w:val="center"/>
              <w:rPr>
                <w:rFonts w:ascii="Cambria" w:hAnsi="Cambria"/>
              </w:rPr>
            </w:pPr>
            <w:r w:rsidRPr="008F6D53">
              <w:rPr>
                <w:rFonts w:ascii="Cambria" w:hAnsi="Cambria"/>
              </w:rPr>
              <w:t>92%</w:t>
            </w:r>
          </w:p>
        </w:tc>
        <w:tc>
          <w:tcPr>
            <w:tcW w:w="851" w:type="dxa"/>
          </w:tcPr>
          <w:p w14:paraId="0C975BD6" w14:textId="77777777" w:rsidR="003D3B44" w:rsidRPr="008F6D53" w:rsidRDefault="003D3B44" w:rsidP="003D3B44">
            <w:pPr>
              <w:jc w:val="center"/>
              <w:rPr>
                <w:rFonts w:ascii="Cambria" w:hAnsi="Cambria"/>
              </w:rPr>
            </w:pPr>
            <w:r w:rsidRPr="008F6D53">
              <w:rPr>
                <w:rFonts w:ascii="Cambria" w:hAnsi="Cambria"/>
              </w:rPr>
              <w:t>91%</w:t>
            </w:r>
          </w:p>
        </w:tc>
        <w:tc>
          <w:tcPr>
            <w:tcW w:w="776" w:type="dxa"/>
          </w:tcPr>
          <w:p w14:paraId="25AAD7E4" w14:textId="77777777" w:rsidR="003D3B44" w:rsidRPr="008F6D53" w:rsidRDefault="003D3B44" w:rsidP="003D3B44">
            <w:pPr>
              <w:jc w:val="center"/>
              <w:rPr>
                <w:rFonts w:ascii="Cambria" w:hAnsi="Cambria"/>
              </w:rPr>
            </w:pPr>
            <w:r w:rsidRPr="008F6D53">
              <w:rPr>
                <w:rFonts w:ascii="Cambria" w:hAnsi="Cambria"/>
              </w:rPr>
              <w:t>88%</w:t>
            </w:r>
          </w:p>
        </w:tc>
      </w:tr>
      <w:tr w:rsidR="003D3B44" w:rsidRPr="008F6D53" w14:paraId="7AC98EBD" w14:textId="77777777" w:rsidTr="003D3B44">
        <w:trPr>
          <w:jc w:val="center"/>
        </w:trPr>
        <w:tc>
          <w:tcPr>
            <w:tcW w:w="2263" w:type="dxa"/>
          </w:tcPr>
          <w:p w14:paraId="10E4C97D" w14:textId="77777777" w:rsidR="003D3B44" w:rsidRPr="008F6D53" w:rsidRDefault="003D3B44" w:rsidP="003D3B44">
            <w:pPr>
              <w:jc w:val="center"/>
              <w:rPr>
                <w:rFonts w:ascii="Cambria" w:hAnsi="Cambria"/>
                <w:b/>
                <w:bCs/>
              </w:rPr>
            </w:pPr>
            <w:r w:rsidRPr="008F6D53">
              <w:rPr>
                <w:rFonts w:ascii="Cambria" w:hAnsi="Cambria"/>
                <w:b/>
                <w:bCs/>
              </w:rPr>
              <w:t>Court Fines</w:t>
            </w:r>
          </w:p>
        </w:tc>
        <w:tc>
          <w:tcPr>
            <w:tcW w:w="776" w:type="dxa"/>
          </w:tcPr>
          <w:p w14:paraId="34127AA1" w14:textId="77777777" w:rsidR="003D3B44" w:rsidRPr="008F6D53" w:rsidRDefault="003D3B44" w:rsidP="003D3B44">
            <w:pPr>
              <w:jc w:val="center"/>
              <w:rPr>
                <w:rFonts w:ascii="Cambria" w:hAnsi="Cambria"/>
              </w:rPr>
            </w:pPr>
            <w:r w:rsidRPr="008F6D53">
              <w:rPr>
                <w:rFonts w:ascii="Cambria" w:hAnsi="Cambria"/>
              </w:rPr>
              <w:t>139%</w:t>
            </w:r>
          </w:p>
        </w:tc>
        <w:tc>
          <w:tcPr>
            <w:tcW w:w="851" w:type="dxa"/>
          </w:tcPr>
          <w:p w14:paraId="43F7517F" w14:textId="77777777" w:rsidR="003D3B44" w:rsidRPr="008F6D53" w:rsidRDefault="003D3B44" w:rsidP="003D3B44">
            <w:pPr>
              <w:jc w:val="center"/>
              <w:rPr>
                <w:rFonts w:ascii="Cambria" w:hAnsi="Cambria"/>
              </w:rPr>
            </w:pPr>
            <w:r w:rsidRPr="008F6D53">
              <w:rPr>
                <w:rFonts w:ascii="Cambria" w:hAnsi="Cambria"/>
              </w:rPr>
              <w:t>117%</w:t>
            </w:r>
          </w:p>
        </w:tc>
        <w:tc>
          <w:tcPr>
            <w:tcW w:w="776" w:type="dxa"/>
          </w:tcPr>
          <w:p w14:paraId="01FE5B45" w14:textId="77777777" w:rsidR="003D3B44" w:rsidRPr="008F6D53" w:rsidRDefault="003D3B44" w:rsidP="003D3B44">
            <w:pPr>
              <w:jc w:val="center"/>
              <w:rPr>
                <w:rFonts w:ascii="Cambria" w:hAnsi="Cambria"/>
              </w:rPr>
            </w:pPr>
            <w:r w:rsidRPr="008F6D53">
              <w:rPr>
                <w:rFonts w:ascii="Cambria" w:hAnsi="Cambria"/>
              </w:rPr>
              <w:t>116%</w:t>
            </w:r>
          </w:p>
        </w:tc>
        <w:tc>
          <w:tcPr>
            <w:tcW w:w="851" w:type="dxa"/>
          </w:tcPr>
          <w:p w14:paraId="16000949" w14:textId="77777777" w:rsidR="003D3B44" w:rsidRPr="008F6D53" w:rsidRDefault="003D3B44" w:rsidP="003D3B44">
            <w:pPr>
              <w:jc w:val="center"/>
              <w:rPr>
                <w:rFonts w:ascii="Cambria" w:hAnsi="Cambria"/>
              </w:rPr>
            </w:pPr>
            <w:r w:rsidRPr="008F6D53">
              <w:rPr>
                <w:rFonts w:ascii="Cambria" w:hAnsi="Cambria"/>
              </w:rPr>
              <w:t>93%</w:t>
            </w:r>
          </w:p>
        </w:tc>
        <w:tc>
          <w:tcPr>
            <w:tcW w:w="776" w:type="dxa"/>
          </w:tcPr>
          <w:p w14:paraId="1A70F73D" w14:textId="77777777" w:rsidR="003D3B44" w:rsidRPr="008F6D53" w:rsidRDefault="003D3B44" w:rsidP="003D3B44">
            <w:pPr>
              <w:jc w:val="center"/>
              <w:rPr>
                <w:rFonts w:ascii="Cambria" w:hAnsi="Cambria"/>
              </w:rPr>
            </w:pPr>
            <w:r w:rsidRPr="008F6D53">
              <w:rPr>
                <w:rFonts w:ascii="Cambria" w:hAnsi="Cambria"/>
              </w:rPr>
              <w:t>101%</w:t>
            </w:r>
          </w:p>
        </w:tc>
      </w:tr>
      <w:tr w:rsidR="003D3B44" w:rsidRPr="008F6D53" w14:paraId="4E0A61C6" w14:textId="77777777" w:rsidTr="003D3B44">
        <w:trPr>
          <w:jc w:val="center"/>
        </w:trPr>
        <w:tc>
          <w:tcPr>
            <w:tcW w:w="2263" w:type="dxa"/>
          </w:tcPr>
          <w:p w14:paraId="2175CF9D" w14:textId="77777777" w:rsidR="003D3B44" w:rsidRPr="008F6D53" w:rsidRDefault="003D3B44" w:rsidP="003D3B44">
            <w:pPr>
              <w:jc w:val="center"/>
              <w:rPr>
                <w:rFonts w:ascii="Cambria" w:hAnsi="Cambria"/>
                <w:b/>
                <w:bCs/>
              </w:rPr>
            </w:pPr>
            <w:r w:rsidRPr="008F6D53">
              <w:rPr>
                <w:rFonts w:ascii="Cambria" w:hAnsi="Cambria"/>
                <w:b/>
                <w:bCs/>
              </w:rPr>
              <w:t>Collection rate of all debt*</w:t>
            </w:r>
          </w:p>
        </w:tc>
        <w:tc>
          <w:tcPr>
            <w:tcW w:w="776" w:type="dxa"/>
          </w:tcPr>
          <w:p w14:paraId="3FAA838A" w14:textId="77777777" w:rsidR="003D3B44" w:rsidRPr="008F6D53" w:rsidRDefault="003D3B44" w:rsidP="003D3B44">
            <w:pPr>
              <w:jc w:val="center"/>
              <w:rPr>
                <w:rFonts w:ascii="Cambria" w:hAnsi="Cambria"/>
              </w:rPr>
            </w:pPr>
            <w:r w:rsidRPr="008F6D53">
              <w:rPr>
                <w:rFonts w:ascii="Cambria" w:hAnsi="Cambria"/>
              </w:rPr>
              <w:t>115%</w:t>
            </w:r>
          </w:p>
        </w:tc>
        <w:tc>
          <w:tcPr>
            <w:tcW w:w="851" w:type="dxa"/>
          </w:tcPr>
          <w:p w14:paraId="0B85263E" w14:textId="77777777" w:rsidR="003D3B44" w:rsidRPr="008F6D53" w:rsidRDefault="003D3B44" w:rsidP="003D3B44">
            <w:pPr>
              <w:jc w:val="center"/>
              <w:rPr>
                <w:rFonts w:ascii="Cambria" w:hAnsi="Cambria"/>
              </w:rPr>
            </w:pPr>
            <w:r w:rsidRPr="008F6D53">
              <w:rPr>
                <w:rFonts w:ascii="Cambria" w:hAnsi="Cambria"/>
              </w:rPr>
              <w:t>95%</w:t>
            </w:r>
          </w:p>
        </w:tc>
        <w:tc>
          <w:tcPr>
            <w:tcW w:w="776" w:type="dxa"/>
          </w:tcPr>
          <w:p w14:paraId="0E18DB96" w14:textId="77777777" w:rsidR="003D3B44" w:rsidRPr="008F6D53" w:rsidRDefault="003D3B44" w:rsidP="003D3B44">
            <w:pPr>
              <w:jc w:val="center"/>
              <w:rPr>
                <w:rFonts w:ascii="Cambria" w:hAnsi="Cambria"/>
              </w:rPr>
            </w:pPr>
            <w:r w:rsidRPr="008F6D53">
              <w:rPr>
                <w:rFonts w:ascii="Cambria" w:hAnsi="Cambria"/>
              </w:rPr>
              <w:t>100%</w:t>
            </w:r>
          </w:p>
        </w:tc>
        <w:tc>
          <w:tcPr>
            <w:tcW w:w="851" w:type="dxa"/>
          </w:tcPr>
          <w:p w14:paraId="6AACD2C5" w14:textId="77777777" w:rsidR="003D3B44" w:rsidRPr="008F6D53" w:rsidRDefault="003D3B44" w:rsidP="003D3B44">
            <w:pPr>
              <w:jc w:val="center"/>
              <w:rPr>
                <w:rFonts w:ascii="Cambria" w:hAnsi="Cambria"/>
              </w:rPr>
            </w:pPr>
            <w:r w:rsidRPr="008F6D53">
              <w:rPr>
                <w:rFonts w:ascii="Cambria" w:hAnsi="Cambria"/>
              </w:rPr>
              <w:t>83%</w:t>
            </w:r>
          </w:p>
        </w:tc>
        <w:tc>
          <w:tcPr>
            <w:tcW w:w="776" w:type="dxa"/>
          </w:tcPr>
          <w:p w14:paraId="031EC223" w14:textId="77777777" w:rsidR="003D3B44" w:rsidRPr="008F6D53" w:rsidRDefault="003D3B44" w:rsidP="003D3B44">
            <w:pPr>
              <w:jc w:val="center"/>
              <w:rPr>
                <w:rFonts w:ascii="Cambria" w:hAnsi="Cambria"/>
              </w:rPr>
            </w:pPr>
            <w:r w:rsidRPr="008F6D53">
              <w:rPr>
                <w:rFonts w:ascii="Cambria" w:hAnsi="Cambria"/>
              </w:rPr>
              <w:t>88%</w:t>
            </w:r>
          </w:p>
        </w:tc>
      </w:tr>
    </w:tbl>
    <w:p w14:paraId="7F55D773" w14:textId="732F06A5" w:rsidR="003D3B44" w:rsidRPr="008F6D53" w:rsidRDefault="0033344F" w:rsidP="00B358FB">
      <w:pPr>
        <w:ind w:left="1418" w:right="940"/>
        <w:rPr>
          <w:rFonts w:ascii="Cambria" w:hAnsi="Cambria"/>
          <w:sz w:val="20"/>
          <w:szCs w:val="20"/>
        </w:rPr>
      </w:pPr>
      <w:r w:rsidRPr="008F6D53">
        <w:rPr>
          <w:rFonts w:ascii="Cambria" w:hAnsi="Cambria"/>
          <w:sz w:val="20"/>
          <w:szCs w:val="20"/>
        </w:rPr>
        <w:t>Source: Department of Justice Annual Reports</w:t>
      </w:r>
      <w:r w:rsidR="00B358FB" w:rsidRPr="008F6D53">
        <w:rPr>
          <w:rFonts w:ascii="Cambria" w:hAnsi="Cambria"/>
          <w:sz w:val="20"/>
          <w:szCs w:val="20"/>
        </w:rPr>
        <w:t xml:space="preserve"> </w:t>
      </w:r>
      <w:r w:rsidR="003D3B44" w:rsidRPr="008F6D53">
        <w:rPr>
          <w:rFonts w:ascii="Cambria" w:hAnsi="Cambria"/>
          <w:sz w:val="20"/>
          <w:szCs w:val="20"/>
        </w:rPr>
        <w:t>*</w:t>
      </w:r>
      <w:r w:rsidR="00B358FB" w:rsidRPr="008F6D53">
        <w:rPr>
          <w:rFonts w:ascii="Cambria" w:hAnsi="Cambria"/>
          <w:sz w:val="20"/>
          <w:szCs w:val="20"/>
        </w:rPr>
        <w:t xml:space="preserve">Our </w:t>
      </w:r>
      <w:r w:rsidR="003D3B44" w:rsidRPr="008F6D53">
        <w:rPr>
          <w:rFonts w:ascii="Cambria" w:hAnsi="Cambria"/>
          <w:sz w:val="20"/>
          <w:szCs w:val="20"/>
        </w:rPr>
        <w:t xml:space="preserve">focus </w:t>
      </w:r>
      <w:r w:rsidR="00B358FB" w:rsidRPr="008F6D53">
        <w:rPr>
          <w:rFonts w:ascii="Cambria" w:hAnsi="Cambria"/>
          <w:sz w:val="20"/>
          <w:szCs w:val="20"/>
        </w:rPr>
        <w:t>is</w:t>
      </w:r>
      <w:r w:rsidR="003D3B44" w:rsidRPr="008F6D53">
        <w:rPr>
          <w:rFonts w:ascii="Cambria" w:hAnsi="Cambria"/>
          <w:sz w:val="20"/>
          <w:szCs w:val="20"/>
        </w:rPr>
        <w:t xml:space="preserve"> the two main penalties</w:t>
      </w:r>
      <w:r w:rsidR="00B358FB" w:rsidRPr="008F6D53">
        <w:rPr>
          <w:rFonts w:ascii="Cambria" w:hAnsi="Cambria"/>
          <w:sz w:val="20"/>
          <w:szCs w:val="20"/>
        </w:rPr>
        <w:t xml:space="preserve"> imposed</w:t>
      </w:r>
      <w:r w:rsidR="003D3B44" w:rsidRPr="008F6D53">
        <w:rPr>
          <w:rFonts w:ascii="Cambria" w:hAnsi="Cambria"/>
          <w:sz w:val="20"/>
          <w:szCs w:val="20"/>
        </w:rPr>
        <w:t xml:space="preserve">. </w:t>
      </w:r>
    </w:p>
    <w:p w14:paraId="1B37448D" w14:textId="77777777" w:rsidR="003D3B44" w:rsidRPr="008F6D53" w:rsidRDefault="003D3B44" w:rsidP="003D3B44">
      <w:pPr>
        <w:rPr>
          <w:rFonts w:ascii="Cambria" w:hAnsi="Cambria"/>
        </w:rPr>
      </w:pPr>
    </w:p>
    <w:p w14:paraId="641D45B7" w14:textId="19D64F60" w:rsidR="003D3B44" w:rsidRPr="008F6D53" w:rsidRDefault="003D3B44" w:rsidP="0033344F">
      <w:pPr>
        <w:jc w:val="both"/>
        <w:rPr>
          <w:rFonts w:ascii="Cambria" w:hAnsi="Cambria"/>
        </w:rPr>
      </w:pPr>
      <w:r w:rsidRPr="008F6D53">
        <w:rPr>
          <w:rFonts w:ascii="Cambria" w:hAnsi="Cambria"/>
        </w:rPr>
        <w:t xml:space="preserve">In circumstances where a person fails or refuses to pay a fine/infringement notice, the MPES has the power to take enforcement action and impose sanctions, including a direction that their driver’s licence or vehicle registration be suspended. </w:t>
      </w:r>
      <w:r w:rsidR="0033344F" w:rsidRPr="008F6D53">
        <w:rPr>
          <w:rFonts w:ascii="Cambria" w:hAnsi="Cambria"/>
        </w:rPr>
        <w:t>According to the Department of Justice, e</w:t>
      </w:r>
      <w:r w:rsidRPr="008F6D53">
        <w:rPr>
          <w:rFonts w:ascii="Cambria" w:hAnsi="Cambria"/>
        </w:rPr>
        <w:t xml:space="preserve">nforcement orders for unpaid monetary penalties are </w:t>
      </w:r>
      <w:r w:rsidR="00DC1DF9" w:rsidRPr="008F6D53">
        <w:rPr>
          <w:rFonts w:ascii="Cambria" w:hAnsi="Cambria"/>
        </w:rPr>
        <w:t>usually</w:t>
      </w:r>
      <w:r w:rsidRPr="008F6D53">
        <w:rPr>
          <w:rFonts w:ascii="Cambria" w:hAnsi="Cambria"/>
        </w:rPr>
        <w:t xml:space="preserve"> issued 35 days after </w:t>
      </w:r>
      <w:r w:rsidR="00DC1DF9" w:rsidRPr="008F6D53">
        <w:rPr>
          <w:rFonts w:ascii="Cambria" w:hAnsi="Cambria"/>
        </w:rPr>
        <w:t>the MPES</w:t>
      </w:r>
      <w:r w:rsidR="0033344F" w:rsidRPr="008F6D53">
        <w:rPr>
          <w:rFonts w:ascii="Cambria" w:hAnsi="Cambria"/>
        </w:rPr>
        <w:t xml:space="preserve"> receives a referral and if</w:t>
      </w:r>
      <w:r w:rsidRPr="008F6D53">
        <w:rPr>
          <w:rFonts w:ascii="Cambria" w:hAnsi="Cambria"/>
        </w:rPr>
        <w:t xml:space="preserve"> the amount remains unpaid then a sanction is applied after a further 21 days have elapsed</w:t>
      </w:r>
      <w:r w:rsidR="0033344F" w:rsidRPr="008F6D53">
        <w:rPr>
          <w:rFonts w:ascii="Cambria" w:hAnsi="Cambria"/>
        </w:rPr>
        <w:t>.</w:t>
      </w:r>
      <w:r w:rsidR="0033344F" w:rsidRPr="008F6D53">
        <w:rPr>
          <w:rStyle w:val="FootnoteReference"/>
          <w:rFonts w:ascii="Cambria" w:hAnsi="Cambria"/>
        </w:rPr>
        <w:footnoteReference w:id="3"/>
      </w:r>
    </w:p>
    <w:p w14:paraId="377C66EC" w14:textId="77777777" w:rsidR="00B358FB" w:rsidRPr="008F6D53" w:rsidRDefault="00B358FB" w:rsidP="0033344F">
      <w:pPr>
        <w:jc w:val="both"/>
        <w:rPr>
          <w:rFonts w:ascii="Cambria" w:hAnsi="Cambria"/>
        </w:rPr>
      </w:pPr>
    </w:p>
    <w:p w14:paraId="303DEE90" w14:textId="77777777" w:rsidR="00B358FB" w:rsidRPr="008F6D53" w:rsidRDefault="00B358FB" w:rsidP="00B358FB">
      <w:pPr>
        <w:jc w:val="both"/>
        <w:rPr>
          <w:rFonts w:ascii="Cambria" w:hAnsi="Cambria"/>
        </w:rPr>
      </w:pPr>
      <w:r w:rsidRPr="008F6D53">
        <w:rPr>
          <w:rFonts w:ascii="Cambria" w:hAnsi="Cambria"/>
        </w:rPr>
        <w:t xml:space="preserve">Over the last five years, the number of sanctions imposed for failure to pay a fine has almost doubled (84 per cent increase). The number of people whose driver’s licence has been suspended has increased by 76 per cent and the number of people whose vehicle registration has been suspended has increased by 650 per cent.   </w:t>
      </w:r>
    </w:p>
    <w:p w14:paraId="52F5C881" w14:textId="77777777" w:rsidR="00B358FB" w:rsidRPr="008F6D53" w:rsidRDefault="00B358FB" w:rsidP="00B358FB">
      <w:pPr>
        <w:jc w:val="both"/>
        <w:rPr>
          <w:rFonts w:ascii="Cambria" w:hAnsi="Cambria"/>
        </w:rPr>
      </w:pPr>
    </w:p>
    <w:p w14:paraId="21DCD757" w14:textId="3C5F8839" w:rsidR="00B358FB" w:rsidRPr="008F6D53" w:rsidRDefault="00B358FB" w:rsidP="0033344F">
      <w:pPr>
        <w:jc w:val="both"/>
        <w:rPr>
          <w:rFonts w:ascii="Cambria" w:hAnsi="Cambria"/>
        </w:rPr>
      </w:pPr>
      <w:r w:rsidRPr="008F6D53">
        <w:rPr>
          <w:rFonts w:ascii="Cambria" w:hAnsi="Cambria"/>
        </w:rPr>
        <w:t>In January 2023, the State Government directed MPES to abolish the public naming of people who owe debts (‘name and shame’).</w:t>
      </w:r>
      <w:r w:rsidRPr="008F6D53">
        <w:rPr>
          <w:rStyle w:val="FootnoteReference"/>
          <w:rFonts w:ascii="Cambria" w:hAnsi="Cambria"/>
        </w:rPr>
        <w:footnoteReference w:id="4"/>
      </w:r>
      <w:r w:rsidRPr="008F6D53">
        <w:rPr>
          <w:rFonts w:ascii="Cambria" w:hAnsi="Cambria"/>
        </w:rPr>
        <w:t xml:space="preserve"> Instead of naming and shaming, </w:t>
      </w:r>
      <w:r w:rsidR="008F6D53">
        <w:rPr>
          <w:rFonts w:ascii="Cambria" w:hAnsi="Cambria"/>
        </w:rPr>
        <w:t xml:space="preserve">the data suggests that </w:t>
      </w:r>
      <w:r w:rsidRPr="008F6D53">
        <w:rPr>
          <w:rFonts w:ascii="Cambria" w:hAnsi="Cambria"/>
        </w:rPr>
        <w:t>MPES is now suspending people’s drivers’ licences and vehicle registrations.</w:t>
      </w:r>
    </w:p>
    <w:p w14:paraId="52085E83" w14:textId="77777777" w:rsidR="003D3B44" w:rsidRPr="008F6D53" w:rsidRDefault="003D3B44" w:rsidP="003D3B44">
      <w:pPr>
        <w:rPr>
          <w:rFonts w:ascii="Cambria" w:hAnsi="Cambria"/>
        </w:rPr>
      </w:pPr>
    </w:p>
    <w:p w14:paraId="261EAA0C" w14:textId="77777777" w:rsidR="003D3B44" w:rsidRPr="008F6D53" w:rsidRDefault="003D3B44" w:rsidP="0033344F">
      <w:pPr>
        <w:jc w:val="center"/>
        <w:rPr>
          <w:rFonts w:ascii="Cambria" w:hAnsi="Cambria"/>
          <w:b/>
          <w:bCs/>
        </w:rPr>
      </w:pPr>
      <w:r w:rsidRPr="008F6D53">
        <w:rPr>
          <w:rFonts w:ascii="Cambria" w:hAnsi="Cambria"/>
          <w:b/>
          <w:bCs/>
        </w:rPr>
        <w:t>No. of sanctions imposed</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63"/>
        <w:gridCol w:w="866"/>
        <w:gridCol w:w="930"/>
        <w:gridCol w:w="930"/>
        <w:gridCol w:w="930"/>
        <w:gridCol w:w="930"/>
      </w:tblGrid>
      <w:tr w:rsidR="003D3B44" w:rsidRPr="008F6D53" w14:paraId="77219636" w14:textId="77777777" w:rsidTr="0033344F">
        <w:tc>
          <w:tcPr>
            <w:tcW w:w="2263" w:type="dxa"/>
          </w:tcPr>
          <w:p w14:paraId="016E5BC4" w14:textId="77777777" w:rsidR="003D3B44" w:rsidRPr="008F6D53" w:rsidRDefault="003D3B44" w:rsidP="0033344F">
            <w:pPr>
              <w:jc w:val="center"/>
              <w:rPr>
                <w:rFonts w:ascii="Cambria" w:hAnsi="Cambria"/>
              </w:rPr>
            </w:pPr>
          </w:p>
        </w:tc>
        <w:tc>
          <w:tcPr>
            <w:tcW w:w="776" w:type="dxa"/>
          </w:tcPr>
          <w:p w14:paraId="01C313AC" w14:textId="77777777" w:rsidR="003D3B44" w:rsidRPr="008F6D53" w:rsidRDefault="003D3B44" w:rsidP="0033344F">
            <w:pPr>
              <w:jc w:val="center"/>
              <w:rPr>
                <w:rFonts w:ascii="Cambria" w:hAnsi="Cambria"/>
                <w:b/>
                <w:bCs/>
              </w:rPr>
            </w:pPr>
            <w:r w:rsidRPr="008F6D53">
              <w:rPr>
                <w:rFonts w:ascii="Cambria" w:hAnsi="Cambria"/>
                <w:b/>
                <w:bCs/>
              </w:rPr>
              <w:t>2020-21</w:t>
            </w:r>
          </w:p>
        </w:tc>
        <w:tc>
          <w:tcPr>
            <w:tcW w:w="876" w:type="dxa"/>
          </w:tcPr>
          <w:p w14:paraId="33D65A12" w14:textId="77777777" w:rsidR="003D3B44" w:rsidRPr="008F6D53" w:rsidRDefault="003D3B44" w:rsidP="0033344F">
            <w:pPr>
              <w:jc w:val="center"/>
              <w:rPr>
                <w:rFonts w:ascii="Cambria" w:hAnsi="Cambria"/>
                <w:b/>
                <w:bCs/>
              </w:rPr>
            </w:pPr>
            <w:r w:rsidRPr="008F6D53">
              <w:rPr>
                <w:rFonts w:ascii="Cambria" w:hAnsi="Cambria"/>
                <w:b/>
                <w:bCs/>
              </w:rPr>
              <w:t>2021-22</w:t>
            </w:r>
          </w:p>
        </w:tc>
        <w:tc>
          <w:tcPr>
            <w:tcW w:w="876" w:type="dxa"/>
          </w:tcPr>
          <w:p w14:paraId="414A2670" w14:textId="77777777" w:rsidR="003D3B44" w:rsidRPr="008F6D53" w:rsidRDefault="003D3B44" w:rsidP="0033344F">
            <w:pPr>
              <w:jc w:val="center"/>
              <w:rPr>
                <w:rFonts w:ascii="Cambria" w:hAnsi="Cambria"/>
                <w:b/>
                <w:bCs/>
              </w:rPr>
            </w:pPr>
            <w:r w:rsidRPr="008F6D53">
              <w:rPr>
                <w:rFonts w:ascii="Cambria" w:hAnsi="Cambria"/>
                <w:b/>
                <w:bCs/>
              </w:rPr>
              <w:t>2022-23</w:t>
            </w:r>
          </w:p>
        </w:tc>
        <w:tc>
          <w:tcPr>
            <w:tcW w:w="876" w:type="dxa"/>
          </w:tcPr>
          <w:p w14:paraId="54B1633A" w14:textId="77777777" w:rsidR="003D3B44" w:rsidRPr="008F6D53" w:rsidRDefault="003D3B44" w:rsidP="0033344F">
            <w:pPr>
              <w:jc w:val="center"/>
              <w:rPr>
                <w:rFonts w:ascii="Cambria" w:hAnsi="Cambria"/>
                <w:b/>
                <w:bCs/>
              </w:rPr>
            </w:pPr>
            <w:r w:rsidRPr="008F6D53">
              <w:rPr>
                <w:rFonts w:ascii="Cambria" w:hAnsi="Cambria"/>
                <w:b/>
                <w:bCs/>
              </w:rPr>
              <w:t>2023-24</w:t>
            </w:r>
          </w:p>
        </w:tc>
        <w:tc>
          <w:tcPr>
            <w:tcW w:w="876" w:type="dxa"/>
          </w:tcPr>
          <w:p w14:paraId="343883B5" w14:textId="77777777" w:rsidR="003D3B44" w:rsidRPr="008F6D53" w:rsidRDefault="003D3B44" w:rsidP="0033344F">
            <w:pPr>
              <w:jc w:val="center"/>
              <w:rPr>
                <w:rFonts w:ascii="Cambria" w:hAnsi="Cambria"/>
                <w:b/>
                <w:bCs/>
              </w:rPr>
            </w:pPr>
            <w:r w:rsidRPr="008F6D53">
              <w:rPr>
                <w:rFonts w:ascii="Cambria" w:hAnsi="Cambria"/>
                <w:b/>
                <w:bCs/>
              </w:rPr>
              <w:t>2024-25</w:t>
            </w:r>
          </w:p>
        </w:tc>
      </w:tr>
      <w:tr w:rsidR="003D3B44" w:rsidRPr="008F6D53" w14:paraId="654DDE03" w14:textId="77777777" w:rsidTr="0033344F">
        <w:tc>
          <w:tcPr>
            <w:tcW w:w="2263" w:type="dxa"/>
          </w:tcPr>
          <w:p w14:paraId="5E8C7F31" w14:textId="77777777" w:rsidR="003D3B44" w:rsidRPr="008F6D53" w:rsidRDefault="003D3B44" w:rsidP="0033344F">
            <w:pPr>
              <w:jc w:val="center"/>
              <w:rPr>
                <w:rFonts w:ascii="Cambria" w:hAnsi="Cambria"/>
                <w:b/>
                <w:bCs/>
              </w:rPr>
            </w:pPr>
            <w:r w:rsidRPr="008F6D53">
              <w:rPr>
                <w:rFonts w:ascii="Cambria" w:hAnsi="Cambria"/>
                <w:b/>
                <w:bCs/>
              </w:rPr>
              <w:t>Suspension of Drivers Licence</w:t>
            </w:r>
          </w:p>
        </w:tc>
        <w:tc>
          <w:tcPr>
            <w:tcW w:w="776" w:type="dxa"/>
          </w:tcPr>
          <w:p w14:paraId="4EF85217" w14:textId="77777777" w:rsidR="003D3B44" w:rsidRPr="008F6D53" w:rsidRDefault="003D3B44" w:rsidP="0033344F">
            <w:pPr>
              <w:jc w:val="center"/>
              <w:rPr>
                <w:rFonts w:ascii="Cambria" w:hAnsi="Cambria"/>
              </w:rPr>
            </w:pPr>
            <w:r w:rsidRPr="008F6D53">
              <w:rPr>
                <w:rFonts w:ascii="Cambria" w:hAnsi="Cambria"/>
              </w:rPr>
              <w:t>7770</w:t>
            </w:r>
          </w:p>
        </w:tc>
        <w:tc>
          <w:tcPr>
            <w:tcW w:w="876" w:type="dxa"/>
          </w:tcPr>
          <w:p w14:paraId="27722DA6" w14:textId="77777777" w:rsidR="003D3B44" w:rsidRPr="008F6D53" w:rsidRDefault="003D3B44" w:rsidP="0033344F">
            <w:pPr>
              <w:jc w:val="center"/>
              <w:rPr>
                <w:rFonts w:ascii="Cambria" w:hAnsi="Cambria"/>
              </w:rPr>
            </w:pPr>
            <w:r w:rsidRPr="008F6D53">
              <w:rPr>
                <w:rFonts w:ascii="Cambria" w:hAnsi="Cambria"/>
              </w:rPr>
              <w:t>10,587</w:t>
            </w:r>
          </w:p>
        </w:tc>
        <w:tc>
          <w:tcPr>
            <w:tcW w:w="876" w:type="dxa"/>
          </w:tcPr>
          <w:p w14:paraId="624E055B" w14:textId="77777777" w:rsidR="003D3B44" w:rsidRPr="008F6D53" w:rsidRDefault="003D3B44" w:rsidP="0033344F">
            <w:pPr>
              <w:jc w:val="center"/>
              <w:rPr>
                <w:rFonts w:ascii="Cambria" w:hAnsi="Cambria"/>
              </w:rPr>
            </w:pPr>
            <w:r w:rsidRPr="008F6D53">
              <w:rPr>
                <w:rFonts w:ascii="Cambria" w:hAnsi="Cambria"/>
              </w:rPr>
              <w:t>10,764</w:t>
            </w:r>
          </w:p>
        </w:tc>
        <w:tc>
          <w:tcPr>
            <w:tcW w:w="876" w:type="dxa"/>
          </w:tcPr>
          <w:p w14:paraId="66305BE8" w14:textId="77777777" w:rsidR="003D3B44" w:rsidRPr="008F6D53" w:rsidRDefault="003D3B44" w:rsidP="0033344F">
            <w:pPr>
              <w:jc w:val="center"/>
              <w:rPr>
                <w:rFonts w:ascii="Cambria" w:hAnsi="Cambria"/>
              </w:rPr>
            </w:pPr>
            <w:r w:rsidRPr="008F6D53">
              <w:rPr>
                <w:rFonts w:ascii="Cambria" w:hAnsi="Cambria"/>
              </w:rPr>
              <w:t>13,968</w:t>
            </w:r>
          </w:p>
        </w:tc>
        <w:tc>
          <w:tcPr>
            <w:tcW w:w="876" w:type="dxa"/>
          </w:tcPr>
          <w:p w14:paraId="6842CA0A" w14:textId="77777777" w:rsidR="003D3B44" w:rsidRPr="008F6D53" w:rsidRDefault="003D3B44" w:rsidP="0033344F">
            <w:pPr>
              <w:jc w:val="center"/>
              <w:rPr>
                <w:rFonts w:ascii="Cambria" w:hAnsi="Cambria"/>
              </w:rPr>
            </w:pPr>
            <w:r w:rsidRPr="008F6D53">
              <w:rPr>
                <w:rFonts w:ascii="Cambria" w:hAnsi="Cambria"/>
              </w:rPr>
              <w:t>13,709</w:t>
            </w:r>
          </w:p>
        </w:tc>
      </w:tr>
      <w:tr w:rsidR="003D3B44" w:rsidRPr="008F6D53" w14:paraId="6EE54AE1" w14:textId="77777777" w:rsidTr="0033344F">
        <w:tc>
          <w:tcPr>
            <w:tcW w:w="2263" w:type="dxa"/>
          </w:tcPr>
          <w:p w14:paraId="774B0702" w14:textId="77777777" w:rsidR="003D3B44" w:rsidRPr="008F6D53" w:rsidRDefault="003D3B44" w:rsidP="0033344F">
            <w:pPr>
              <w:jc w:val="center"/>
              <w:rPr>
                <w:rFonts w:ascii="Cambria" w:hAnsi="Cambria"/>
                <w:b/>
                <w:bCs/>
              </w:rPr>
            </w:pPr>
            <w:r w:rsidRPr="008F6D53">
              <w:rPr>
                <w:rFonts w:ascii="Cambria" w:hAnsi="Cambria"/>
                <w:b/>
                <w:bCs/>
              </w:rPr>
              <w:t>Suspension of Vehicle Registration</w:t>
            </w:r>
          </w:p>
        </w:tc>
        <w:tc>
          <w:tcPr>
            <w:tcW w:w="776" w:type="dxa"/>
          </w:tcPr>
          <w:p w14:paraId="1458C37A" w14:textId="77777777" w:rsidR="003D3B44" w:rsidRPr="008F6D53" w:rsidRDefault="003D3B44" w:rsidP="0033344F">
            <w:pPr>
              <w:jc w:val="center"/>
              <w:rPr>
                <w:rFonts w:ascii="Cambria" w:hAnsi="Cambria"/>
              </w:rPr>
            </w:pPr>
            <w:r w:rsidRPr="008F6D53">
              <w:rPr>
                <w:rFonts w:ascii="Cambria" w:hAnsi="Cambria"/>
              </w:rPr>
              <w:t>349</w:t>
            </w:r>
          </w:p>
        </w:tc>
        <w:tc>
          <w:tcPr>
            <w:tcW w:w="876" w:type="dxa"/>
          </w:tcPr>
          <w:p w14:paraId="2C4FDA71" w14:textId="77777777" w:rsidR="003D3B44" w:rsidRPr="008F6D53" w:rsidRDefault="003D3B44" w:rsidP="0033344F">
            <w:pPr>
              <w:jc w:val="center"/>
              <w:rPr>
                <w:rFonts w:ascii="Cambria" w:hAnsi="Cambria"/>
              </w:rPr>
            </w:pPr>
            <w:r w:rsidRPr="008F6D53">
              <w:rPr>
                <w:rFonts w:ascii="Cambria" w:hAnsi="Cambria"/>
              </w:rPr>
              <w:t>713</w:t>
            </w:r>
          </w:p>
        </w:tc>
        <w:tc>
          <w:tcPr>
            <w:tcW w:w="876" w:type="dxa"/>
          </w:tcPr>
          <w:p w14:paraId="0E7BE098" w14:textId="77777777" w:rsidR="003D3B44" w:rsidRPr="008F6D53" w:rsidRDefault="003D3B44" w:rsidP="0033344F">
            <w:pPr>
              <w:jc w:val="center"/>
              <w:rPr>
                <w:rFonts w:ascii="Cambria" w:hAnsi="Cambria"/>
              </w:rPr>
            </w:pPr>
            <w:r w:rsidRPr="008F6D53">
              <w:rPr>
                <w:rFonts w:ascii="Cambria" w:hAnsi="Cambria"/>
              </w:rPr>
              <w:t>494</w:t>
            </w:r>
          </w:p>
        </w:tc>
        <w:tc>
          <w:tcPr>
            <w:tcW w:w="876" w:type="dxa"/>
          </w:tcPr>
          <w:p w14:paraId="4163DBE5" w14:textId="77777777" w:rsidR="003D3B44" w:rsidRPr="008F6D53" w:rsidRDefault="003D3B44" w:rsidP="0033344F">
            <w:pPr>
              <w:jc w:val="center"/>
              <w:rPr>
                <w:rFonts w:ascii="Cambria" w:hAnsi="Cambria"/>
              </w:rPr>
            </w:pPr>
            <w:r w:rsidRPr="008F6D53">
              <w:rPr>
                <w:rFonts w:ascii="Cambria" w:hAnsi="Cambria"/>
              </w:rPr>
              <w:t>1099</w:t>
            </w:r>
          </w:p>
        </w:tc>
        <w:tc>
          <w:tcPr>
            <w:tcW w:w="876" w:type="dxa"/>
          </w:tcPr>
          <w:p w14:paraId="2EF7AE45" w14:textId="77777777" w:rsidR="003D3B44" w:rsidRPr="008F6D53" w:rsidRDefault="003D3B44" w:rsidP="0033344F">
            <w:pPr>
              <w:jc w:val="center"/>
              <w:rPr>
                <w:rFonts w:ascii="Cambria" w:hAnsi="Cambria"/>
              </w:rPr>
            </w:pPr>
            <w:r w:rsidRPr="008F6D53">
              <w:rPr>
                <w:rFonts w:ascii="Cambria" w:hAnsi="Cambria"/>
              </w:rPr>
              <w:t>2,620</w:t>
            </w:r>
          </w:p>
        </w:tc>
      </w:tr>
      <w:tr w:rsidR="003D3B44" w:rsidRPr="008F6D53" w14:paraId="3A89BCC5" w14:textId="77777777" w:rsidTr="0033344F">
        <w:tc>
          <w:tcPr>
            <w:tcW w:w="2263" w:type="dxa"/>
          </w:tcPr>
          <w:p w14:paraId="6D769452" w14:textId="77777777" w:rsidR="003D3B44" w:rsidRPr="008F6D53" w:rsidRDefault="003D3B44" w:rsidP="0033344F">
            <w:pPr>
              <w:jc w:val="center"/>
              <w:rPr>
                <w:rFonts w:ascii="Cambria" w:hAnsi="Cambria"/>
                <w:b/>
                <w:bCs/>
              </w:rPr>
            </w:pPr>
            <w:r w:rsidRPr="008F6D53">
              <w:rPr>
                <w:rFonts w:ascii="Cambria" w:hAnsi="Cambria"/>
                <w:b/>
                <w:bCs/>
              </w:rPr>
              <w:t>Publication of Name - ‘Name and Shame’**</w:t>
            </w:r>
          </w:p>
        </w:tc>
        <w:tc>
          <w:tcPr>
            <w:tcW w:w="776" w:type="dxa"/>
          </w:tcPr>
          <w:p w14:paraId="7924EDEB" w14:textId="77777777" w:rsidR="003D3B44" w:rsidRPr="008F6D53" w:rsidRDefault="003D3B44" w:rsidP="0033344F">
            <w:pPr>
              <w:jc w:val="center"/>
              <w:rPr>
                <w:rFonts w:ascii="Cambria" w:hAnsi="Cambria"/>
              </w:rPr>
            </w:pPr>
            <w:r w:rsidRPr="008F6D53">
              <w:rPr>
                <w:rFonts w:ascii="Cambria" w:hAnsi="Cambria"/>
              </w:rPr>
              <w:t>634</w:t>
            </w:r>
          </w:p>
        </w:tc>
        <w:tc>
          <w:tcPr>
            <w:tcW w:w="876" w:type="dxa"/>
          </w:tcPr>
          <w:p w14:paraId="18C85260" w14:textId="77777777" w:rsidR="003D3B44" w:rsidRPr="008F6D53" w:rsidRDefault="003D3B44" w:rsidP="0033344F">
            <w:pPr>
              <w:jc w:val="center"/>
              <w:rPr>
                <w:rFonts w:ascii="Cambria" w:hAnsi="Cambria"/>
              </w:rPr>
            </w:pPr>
            <w:r w:rsidRPr="008F6D53">
              <w:rPr>
                <w:rFonts w:ascii="Cambria" w:hAnsi="Cambria"/>
              </w:rPr>
              <w:t>1437</w:t>
            </w:r>
          </w:p>
        </w:tc>
        <w:tc>
          <w:tcPr>
            <w:tcW w:w="876" w:type="dxa"/>
          </w:tcPr>
          <w:p w14:paraId="580CE60B" w14:textId="77777777" w:rsidR="003D3B44" w:rsidRPr="008F6D53" w:rsidRDefault="003D3B44" w:rsidP="0033344F">
            <w:pPr>
              <w:jc w:val="center"/>
              <w:rPr>
                <w:rFonts w:ascii="Cambria" w:hAnsi="Cambria"/>
              </w:rPr>
            </w:pPr>
            <w:r w:rsidRPr="008F6D53">
              <w:rPr>
                <w:rFonts w:ascii="Cambria" w:hAnsi="Cambria"/>
              </w:rPr>
              <w:t>670</w:t>
            </w:r>
          </w:p>
        </w:tc>
        <w:tc>
          <w:tcPr>
            <w:tcW w:w="876" w:type="dxa"/>
          </w:tcPr>
          <w:p w14:paraId="01E2248B" w14:textId="77777777" w:rsidR="003D3B44" w:rsidRPr="008F6D53" w:rsidRDefault="003D3B44" w:rsidP="0033344F">
            <w:pPr>
              <w:jc w:val="center"/>
              <w:rPr>
                <w:rFonts w:ascii="Cambria" w:hAnsi="Cambria"/>
              </w:rPr>
            </w:pPr>
          </w:p>
        </w:tc>
        <w:tc>
          <w:tcPr>
            <w:tcW w:w="876" w:type="dxa"/>
          </w:tcPr>
          <w:p w14:paraId="5BA0953A" w14:textId="77777777" w:rsidR="003D3B44" w:rsidRPr="008F6D53" w:rsidRDefault="003D3B44" w:rsidP="0033344F">
            <w:pPr>
              <w:jc w:val="center"/>
              <w:rPr>
                <w:rFonts w:ascii="Cambria" w:hAnsi="Cambria"/>
              </w:rPr>
            </w:pPr>
          </w:p>
        </w:tc>
      </w:tr>
      <w:tr w:rsidR="003D3B44" w:rsidRPr="008F6D53" w14:paraId="7B7199A2" w14:textId="77777777" w:rsidTr="0033344F">
        <w:tc>
          <w:tcPr>
            <w:tcW w:w="2263" w:type="dxa"/>
          </w:tcPr>
          <w:p w14:paraId="511BB538" w14:textId="77777777" w:rsidR="003D3B44" w:rsidRPr="008F6D53" w:rsidRDefault="003D3B44" w:rsidP="0033344F">
            <w:pPr>
              <w:jc w:val="center"/>
              <w:rPr>
                <w:rFonts w:ascii="Cambria" w:hAnsi="Cambria"/>
                <w:b/>
                <w:bCs/>
              </w:rPr>
            </w:pPr>
            <w:r w:rsidRPr="008F6D53">
              <w:rPr>
                <w:rFonts w:ascii="Cambria" w:hAnsi="Cambria"/>
                <w:b/>
                <w:bCs/>
              </w:rPr>
              <w:t>No. of sanctions total*</w:t>
            </w:r>
          </w:p>
        </w:tc>
        <w:tc>
          <w:tcPr>
            <w:tcW w:w="776" w:type="dxa"/>
          </w:tcPr>
          <w:p w14:paraId="2F041583" w14:textId="77777777" w:rsidR="003D3B44" w:rsidRPr="008F6D53" w:rsidRDefault="003D3B44" w:rsidP="0033344F">
            <w:pPr>
              <w:jc w:val="center"/>
              <w:rPr>
                <w:rFonts w:ascii="Cambria" w:hAnsi="Cambria"/>
              </w:rPr>
            </w:pPr>
            <w:r w:rsidRPr="008F6D53">
              <w:rPr>
                <w:rFonts w:ascii="Cambria" w:hAnsi="Cambria"/>
              </w:rPr>
              <w:t>8774</w:t>
            </w:r>
          </w:p>
        </w:tc>
        <w:tc>
          <w:tcPr>
            <w:tcW w:w="876" w:type="dxa"/>
          </w:tcPr>
          <w:p w14:paraId="4ABA1935" w14:textId="77777777" w:rsidR="003D3B44" w:rsidRPr="008F6D53" w:rsidRDefault="003D3B44" w:rsidP="0033344F">
            <w:pPr>
              <w:jc w:val="center"/>
              <w:rPr>
                <w:rFonts w:ascii="Cambria" w:hAnsi="Cambria"/>
              </w:rPr>
            </w:pPr>
            <w:r w:rsidRPr="008F6D53">
              <w:rPr>
                <w:rFonts w:ascii="Cambria" w:hAnsi="Cambria"/>
              </w:rPr>
              <w:t>12,803</w:t>
            </w:r>
          </w:p>
        </w:tc>
        <w:tc>
          <w:tcPr>
            <w:tcW w:w="876" w:type="dxa"/>
          </w:tcPr>
          <w:p w14:paraId="6065DF31" w14:textId="77777777" w:rsidR="003D3B44" w:rsidRPr="008F6D53" w:rsidRDefault="003D3B44" w:rsidP="0033344F">
            <w:pPr>
              <w:jc w:val="center"/>
              <w:rPr>
                <w:rFonts w:ascii="Cambria" w:hAnsi="Cambria"/>
              </w:rPr>
            </w:pPr>
            <w:r w:rsidRPr="008F6D53">
              <w:rPr>
                <w:rFonts w:ascii="Cambria" w:hAnsi="Cambria"/>
              </w:rPr>
              <w:t>11,962</w:t>
            </w:r>
          </w:p>
        </w:tc>
        <w:tc>
          <w:tcPr>
            <w:tcW w:w="876" w:type="dxa"/>
          </w:tcPr>
          <w:p w14:paraId="3F304BF1" w14:textId="77777777" w:rsidR="003D3B44" w:rsidRPr="008F6D53" w:rsidRDefault="003D3B44" w:rsidP="0033344F">
            <w:pPr>
              <w:jc w:val="center"/>
              <w:rPr>
                <w:rFonts w:ascii="Cambria" w:hAnsi="Cambria"/>
              </w:rPr>
            </w:pPr>
            <w:r w:rsidRPr="008F6D53">
              <w:rPr>
                <w:rFonts w:ascii="Cambria" w:hAnsi="Cambria"/>
              </w:rPr>
              <w:t>15,092</w:t>
            </w:r>
          </w:p>
        </w:tc>
        <w:tc>
          <w:tcPr>
            <w:tcW w:w="876" w:type="dxa"/>
          </w:tcPr>
          <w:p w14:paraId="3ADE4108" w14:textId="77777777" w:rsidR="003D3B44" w:rsidRPr="008F6D53" w:rsidRDefault="003D3B44" w:rsidP="0033344F">
            <w:pPr>
              <w:jc w:val="center"/>
              <w:rPr>
                <w:rFonts w:ascii="Cambria" w:hAnsi="Cambria"/>
              </w:rPr>
            </w:pPr>
            <w:r w:rsidRPr="008F6D53">
              <w:rPr>
                <w:rFonts w:ascii="Cambria" w:hAnsi="Cambria"/>
              </w:rPr>
              <w:t>16,344</w:t>
            </w:r>
          </w:p>
        </w:tc>
      </w:tr>
    </w:tbl>
    <w:p w14:paraId="4A1A5542" w14:textId="201F607F" w:rsidR="0033344F" w:rsidRPr="008F6D53" w:rsidRDefault="003D3B44" w:rsidP="00B358FB">
      <w:pPr>
        <w:ind w:left="1134" w:right="798"/>
        <w:rPr>
          <w:rFonts w:ascii="Cambria" w:hAnsi="Cambria"/>
          <w:sz w:val="20"/>
          <w:szCs w:val="20"/>
        </w:rPr>
      </w:pPr>
      <w:r w:rsidRPr="008F6D53">
        <w:rPr>
          <w:rFonts w:ascii="Cambria" w:hAnsi="Cambria"/>
        </w:rPr>
        <w:br w:type="textWrapping" w:clear="all"/>
      </w:r>
      <w:r w:rsidR="0033344F" w:rsidRPr="008F6D53">
        <w:rPr>
          <w:rFonts w:ascii="Cambria" w:hAnsi="Cambria"/>
          <w:sz w:val="20"/>
          <w:szCs w:val="20"/>
        </w:rPr>
        <w:t xml:space="preserve">Source: Department of Justice Annual Reports </w:t>
      </w:r>
      <w:r w:rsidRPr="008F6D53">
        <w:rPr>
          <w:rFonts w:ascii="Cambria" w:hAnsi="Cambria"/>
          <w:sz w:val="20"/>
          <w:szCs w:val="20"/>
        </w:rPr>
        <w:t xml:space="preserve">*There are other </w:t>
      </w:r>
      <w:r w:rsidR="0033344F" w:rsidRPr="008F6D53">
        <w:rPr>
          <w:rFonts w:ascii="Cambria" w:hAnsi="Cambria"/>
          <w:sz w:val="20"/>
          <w:szCs w:val="20"/>
        </w:rPr>
        <w:t xml:space="preserve">less-utilised </w:t>
      </w:r>
      <w:r w:rsidRPr="008F6D53">
        <w:rPr>
          <w:rFonts w:ascii="Cambria" w:hAnsi="Cambria"/>
          <w:sz w:val="20"/>
          <w:szCs w:val="20"/>
        </w:rPr>
        <w:t>sanctions</w:t>
      </w:r>
      <w:r w:rsidR="0033344F" w:rsidRPr="008F6D53">
        <w:rPr>
          <w:rFonts w:ascii="Cambria" w:hAnsi="Cambria"/>
          <w:sz w:val="20"/>
          <w:szCs w:val="20"/>
        </w:rPr>
        <w:t xml:space="preserve"> imposed by MPES</w:t>
      </w:r>
      <w:r w:rsidRPr="008F6D53">
        <w:rPr>
          <w:rFonts w:ascii="Cambria" w:hAnsi="Cambria"/>
          <w:sz w:val="20"/>
          <w:szCs w:val="20"/>
        </w:rPr>
        <w:t>.</w:t>
      </w:r>
      <w:r w:rsidR="0033344F" w:rsidRPr="008F6D53">
        <w:rPr>
          <w:rFonts w:ascii="Cambria" w:hAnsi="Cambria"/>
          <w:sz w:val="20"/>
          <w:szCs w:val="20"/>
        </w:rPr>
        <w:t xml:space="preserve"> **Use of this sanction ceased on 19 January 2023</w:t>
      </w:r>
    </w:p>
    <w:p w14:paraId="405391A6" w14:textId="1CF17958" w:rsidR="003D3B44" w:rsidRPr="008F6D53" w:rsidRDefault="00DC1DF9" w:rsidP="0033344F">
      <w:pPr>
        <w:jc w:val="both"/>
        <w:rPr>
          <w:rFonts w:ascii="Cambria" w:hAnsi="Cambria"/>
        </w:rPr>
      </w:pPr>
      <w:r w:rsidRPr="008F6D53">
        <w:rPr>
          <w:rFonts w:ascii="Cambria" w:hAnsi="Cambria"/>
        </w:rPr>
        <w:lastRenderedPageBreak/>
        <w:t xml:space="preserve">The data also highlights a significant increase </w:t>
      </w:r>
      <w:r w:rsidR="003D3B44" w:rsidRPr="008F6D53">
        <w:rPr>
          <w:rFonts w:ascii="Cambria" w:hAnsi="Cambria"/>
        </w:rPr>
        <w:t>in the number of people seeking to pay by instalment rather than in full</w:t>
      </w:r>
      <w:r w:rsidRPr="008F6D53">
        <w:rPr>
          <w:rFonts w:ascii="Cambria" w:hAnsi="Cambria"/>
        </w:rPr>
        <w:t>, with a 39 per cent increase o</w:t>
      </w:r>
      <w:r w:rsidR="003D3B44" w:rsidRPr="008F6D53">
        <w:rPr>
          <w:rFonts w:ascii="Cambria" w:hAnsi="Cambria"/>
        </w:rPr>
        <w:t xml:space="preserve">ver the last five years.   </w:t>
      </w:r>
    </w:p>
    <w:p w14:paraId="61075CA7" w14:textId="77777777" w:rsidR="003D3B44" w:rsidRPr="008F6D53" w:rsidRDefault="003D3B44" w:rsidP="003D3B44">
      <w:pPr>
        <w:rPr>
          <w:rFonts w:ascii="Cambria" w:hAnsi="Cambria"/>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63"/>
        <w:gridCol w:w="930"/>
        <w:gridCol w:w="930"/>
        <w:gridCol w:w="930"/>
        <w:gridCol w:w="930"/>
        <w:gridCol w:w="930"/>
      </w:tblGrid>
      <w:tr w:rsidR="003D3B44" w:rsidRPr="008F6D53" w14:paraId="11EE5494" w14:textId="77777777" w:rsidTr="00B358FB">
        <w:trPr>
          <w:trHeight w:val="605"/>
        </w:trPr>
        <w:tc>
          <w:tcPr>
            <w:tcW w:w="2263" w:type="dxa"/>
          </w:tcPr>
          <w:p w14:paraId="727A5A37" w14:textId="77777777" w:rsidR="003D3B44" w:rsidRPr="008F6D53" w:rsidRDefault="003D3B44" w:rsidP="008F6D53">
            <w:pPr>
              <w:rPr>
                <w:rFonts w:ascii="Cambria" w:hAnsi="Cambria"/>
              </w:rPr>
            </w:pPr>
          </w:p>
        </w:tc>
        <w:tc>
          <w:tcPr>
            <w:tcW w:w="930" w:type="dxa"/>
          </w:tcPr>
          <w:p w14:paraId="5AE3F13B" w14:textId="77777777" w:rsidR="003D3B44" w:rsidRPr="008F6D53" w:rsidRDefault="003D3B44" w:rsidP="008F6D53">
            <w:pPr>
              <w:rPr>
                <w:rFonts w:ascii="Cambria" w:hAnsi="Cambria"/>
                <w:b/>
                <w:bCs/>
              </w:rPr>
            </w:pPr>
            <w:r w:rsidRPr="008F6D53">
              <w:rPr>
                <w:rFonts w:ascii="Cambria" w:hAnsi="Cambria"/>
                <w:b/>
                <w:bCs/>
              </w:rPr>
              <w:t>2020-21</w:t>
            </w:r>
          </w:p>
        </w:tc>
        <w:tc>
          <w:tcPr>
            <w:tcW w:w="930" w:type="dxa"/>
          </w:tcPr>
          <w:p w14:paraId="75AA4B02" w14:textId="77777777" w:rsidR="003D3B44" w:rsidRPr="008F6D53" w:rsidRDefault="003D3B44" w:rsidP="008F6D53">
            <w:pPr>
              <w:rPr>
                <w:rFonts w:ascii="Cambria" w:hAnsi="Cambria"/>
                <w:b/>
                <w:bCs/>
              </w:rPr>
            </w:pPr>
            <w:r w:rsidRPr="008F6D53">
              <w:rPr>
                <w:rFonts w:ascii="Cambria" w:hAnsi="Cambria"/>
                <w:b/>
                <w:bCs/>
              </w:rPr>
              <w:t>2021-22</w:t>
            </w:r>
          </w:p>
        </w:tc>
        <w:tc>
          <w:tcPr>
            <w:tcW w:w="930" w:type="dxa"/>
          </w:tcPr>
          <w:p w14:paraId="210C7F1E" w14:textId="77777777" w:rsidR="003D3B44" w:rsidRPr="008F6D53" w:rsidRDefault="003D3B44" w:rsidP="008F6D53">
            <w:pPr>
              <w:rPr>
                <w:rFonts w:ascii="Cambria" w:hAnsi="Cambria"/>
                <w:b/>
                <w:bCs/>
              </w:rPr>
            </w:pPr>
            <w:r w:rsidRPr="008F6D53">
              <w:rPr>
                <w:rFonts w:ascii="Cambria" w:hAnsi="Cambria"/>
                <w:b/>
                <w:bCs/>
              </w:rPr>
              <w:t>2022-23</w:t>
            </w:r>
          </w:p>
        </w:tc>
        <w:tc>
          <w:tcPr>
            <w:tcW w:w="930" w:type="dxa"/>
          </w:tcPr>
          <w:p w14:paraId="7775713F" w14:textId="77777777" w:rsidR="003D3B44" w:rsidRPr="008F6D53" w:rsidRDefault="003D3B44" w:rsidP="008F6D53">
            <w:pPr>
              <w:rPr>
                <w:rFonts w:ascii="Cambria" w:hAnsi="Cambria"/>
                <w:b/>
                <w:bCs/>
              </w:rPr>
            </w:pPr>
            <w:r w:rsidRPr="008F6D53">
              <w:rPr>
                <w:rFonts w:ascii="Cambria" w:hAnsi="Cambria"/>
                <w:b/>
                <w:bCs/>
              </w:rPr>
              <w:t>2023-24</w:t>
            </w:r>
          </w:p>
        </w:tc>
        <w:tc>
          <w:tcPr>
            <w:tcW w:w="930" w:type="dxa"/>
          </w:tcPr>
          <w:p w14:paraId="6F86656F" w14:textId="77777777" w:rsidR="003D3B44" w:rsidRPr="008F6D53" w:rsidRDefault="003D3B44" w:rsidP="008F6D53">
            <w:pPr>
              <w:rPr>
                <w:rFonts w:ascii="Cambria" w:hAnsi="Cambria"/>
                <w:b/>
                <w:bCs/>
              </w:rPr>
            </w:pPr>
            <w:r w:rsidRPr="008F6D53">
              <w:rPr>
                <w:rFonts w:ascii="Cambria" w:hAnsi="Cambria"/>
                <w:b/>
                <w:bCs/>
              </w:rPr>
              <w:t>2024-25</w:t>
            </w:r>
          </w:p>
        </w:tc>
      </w:tr>
      <w:tr w:rsidR="003D3B44" w:rsidRPr="008F6D53" w14:paraId="56B3E58F" w14:textId="77777777" w:rsidTr="008F6D53">
        <w:trPr>
          <w:trHeight w:val="933"/>
        </w:trPr>
        <w:tc>
          <w:tcPr>
            <w:tcW w:w="2263" w:type="dxa"/>
          </w:tcPr>
          <w:p w14:paraId="7F2F71FA" w14:textId="77777777" w:rsidR="003D3B44" w:rsidRPr="008F6D53" w:rsidRDefault="003D3B44" w:rsidP="008F6D53">
            <w:pPr>
              <w:rPr>
                <w:rFonts w:ascii="Cambria" w:hAnsi="Cambria"/>
                <w:b/>
                <w:bCs/>
              </w:rPr>
            </w:pPr>
            <w:r w:rsidRPr="008F6D53">
              <w:rPr>
                <w:rFonts w:ascii="Cambria" w:hAnsi="Cambria"/>
                <w:b/>
                <w:bCs/>
              </w:rPr>
              <w:t>No. of people seeking to pay in instalments</w:t>
            </w:r>
          </w:p>
        </w:tc>
        <w:tc>
          <w:tcPr>
            <w:tcW w:w="930" w:type="dxa"/>
          </w:tcPr>
          <w:p w14:paraId="5A347735" w14:textId="77777777" w:rsidR="003D3B44" w:rsidRPr="008F6D53" w:rsidRDefault="003D3B44" w:rsidP="008F6D53">
            <w:pPr>
              <w:rPr>
                <w:rFonts w:ascii="Cambria" w:hAnsi="Cambria"/>
              </w:rPr>
            </w:pPr>
            <w:r w:rsidRPr="008F6D53">
              <w:rPr>
                <w:rFonts w:ascii="Cambria" w:hAnsi="Cambria"/>
              </w:rPr>
              <w:t>15,972</w:t>
            </w:r>
          </w:p>
        </w:tc>
        <w:tc>
          <w:tcPr>
            <w:tcW w:w="930" w:type="dxa"/>
          </w:tcPr>
          <w:p w14:paraId="29CE21F8" w14:textId="77777777" w:rsidR="003D3B44" w:rsidRPr="008F6D53" w:rsidRDefault="003D3B44" w:rsidP="008F6D53">
            <w:pPr>
              <w:rPr>
                <w:rFonts w:ascii="Cambria" w:hAnsi="Cambria"/>
              </w:rPr>
            </w:pPr>
            <w:r w:rsidRPr="008F6D53">
              <w:rPr>
                <w:rFonts w:ascii="Cambria" w:hAnsi="Cambria"/>
              </w:rPr>
              <w:t>16,457</w:t>
            </w:r>
          </w:p>
        </w:tc>
        <w:tc>
          <w:tcPr>
            <w:tcW w:w="930" w:type="dxa"/>
          </w:tcPr>
          <w:p w14:paraId="63F9E848" w14:textId="77777777" w:rsidR="003D3B44" w:rsidRPr="008F6D53" w:rsidRDefault="003D3B44" w:rsidP="008F6D53">
            <w:pPr>
              <w:rPr>
                <w:rFonts w:ascii="Cambria" w:hAnsi="Cambria"/>
              </w:rPr>
            </w:pPr>
            <w:r w:rsidRPr="008F6D53">
              <w:rPr>
                <w:rFonts w:ascii="Cambria" w:hAnsi="Cambria"/>
              </w:rPr>
              <w:t>19,850</w:t>
            </w:r>
          </w:p>
        </w:tc>
        <w:tc>
          <w:tcPr>
            <w:tcW w:w="930" w:type="dxa"/>
          </w:tcPr>
          <w:p w14:paraId="0550ED0C" w14:textId="77777777" w:rsidR="003D3B44" w:rsidRPr="008F6D53" w:rsidRDefault="003D3B44" w:rsidP="008F6D53">
            <w:pPr>
              <w:rPr>
                <w:rFonts w:ascii="Cambria" w:hAnsi="Cambria"/>
              </w:rPr>
            </w:pPr>
            <w:r w:rsidRPr="008F6D53">
              <w:rPr>
                <w:rFonts w:ascii="Cambria" w:hAnsi="Cambria"/>
              </w:rPr>
              <w:t>19,953</w:t>
            </w:r>
          </w:p>
        </w:tc>
        <w:tc>
          <w:tcPr>
            <w:tcW w:w="930" w:type="dxa"/>
          </w:tcPr>
          <w:p w14:paraId="0CA2A580" w14:textId="77777777" w:rsidR="003D3B44" w:rsidRPr="008F6D53" w:rsidRDefault="003D3B44" w:rsidP="008F6D53">
            <w:pPr>
              <w:rPr>
                <w:rFonts w:ascii="Cambria" w:hAnsi="Cambria"/>
              </w:rPr>
            </w:pPr>
            <w:r w:rsidRPr="008F6D53">
              <w:rPr>
                <w:rFonts w:ascii="Cambria" w:hAnsi="Cambria"/>
              </w:rPr>
              <w:t>22,218</w:t>
            </w:r>
          </w:p>
        </w:tc>
      </w:tr>
    </w:tbl>
    <w:p w14:paraId="4E7A726B" w14:textId="77777777" w:rsidR="003D3B44" w:rsidRPr="008F6D53" w:rsidRDefault="003D3B44" w:rsidP="008F6D53">
      <w:pPr>
        <w:rPr>
          <w:rFonts w:ascii="Cambria" w:hAnsi="Cambria"/>
        </w:rPr>
      </w:pPr>
    </w:p>
    <w:p w14:paraId="70D8A148" w14:textId="77777777" w:rsidR="00FC79AA" w:rsidRPr="008F6D53" w:rsidRDefault="00FC79AA" w:rsidP="008F6D53">
      <w:pPr>
        <w:rPr>
          <w:rFonts w:ascii="Cambria" w:hAnsi="Cambria"/>
        </w:rPr>
      </w:pPr>
    </w:p>
    <w:p w14:paraId="61B3211F" w14:textId="77777777" w:rsidR="00FC79AA" w:rsidRPr="008F6D53" w:rsidRDefault="00FC79AA" w:rsidP="008F6D53">
      <w:pPr>
        <w:rPr>
          <w:rFonts w:ascii="Cambria" w:hAnsi="Cambria"/>
        </w:rPr>
      </w:pPr>
    </w:p>
    <w:p w14:paraId="2ECA1979" w14:textId="77777777" w:rsidR="00B358FB" w:rsidRPr="008F6D53" w:rsidRDefault="00B358FB" w:rsidP="008F6D53">
      <w:pPr>
        <w:rPr>
          <w:rFonts w:ascii="Cambria" w:hAnsi="Cambria"/>
        </w:rPr>
      </w:pPr>
    </w:p>
    <w:p w14:paraId="6AA7C5D9" w14:textId="77777777" w:rsidR="00B358FB" w:rsidRPr="008F6D53" w:rsidRDefault="00B358FB" w:rsidP="008F6D53">
      <w:pPr>
        <w:rPr>
          <w:rFonts w:ascii="Cambria" w:hAnsi="Cambria"/>
        </w:rPr>
      </w:pPr>
    </w:p>
    <w:p w14:paraId="0D4F07E9" w14:textId="77777777" w:rsidR="008F6D53" w:rsidRDefault="008F6D53" w:rsidP="008F6D53">
      <w:pPr>
        <w:pStyle w:val="NoSpacing"/>
        <w:ind w:left="1134"/>
        <w:rPr>
          <w:rFonts w:ascii="Cambria" w:hAnsi="Cambria"/>
        </w:rPr>
      </w:pPr>
    </w:p>
    <w:p w14:paraId="70AE4C48" w14:textId="69C6DE67" w:rsidR="008F6D53" w:rsidRPr="008F6D53" w:rsidRDefault="008F6D53" w:rsidP="008F6D53">
      <w:pPr>
        <w:pStyle w:val="NoSpacing"/>
        <w:ind w:left="1134"/>
        <w:rPr>
          <w:rFonts w:ascii="Cambria" w:hAnsi="Cambria"/>
          <w:sz w:val="20"/>
          <w:szCs w:val="20"/>
        </w:rPr>
      </w:pPr>
      <w:r w:rsidRPr="008F6D53">
        <w:rPr>
          <w:rFonts w:ascii="Cambria" w:hAnsi="Cambria"/>
          <w:sz w:val="20"/>
          <w:szCs w:val="20"/>
        </w:rPr>
        <w:t>Source: Department of Justice Annual Reports</w:t>
      </w:r>
    </w:p>
    <w:p w14:paraId="0DFE4047" w14:textId="77777777" w:rsidR="0033344F" w:rsidRPr="008F6D53" w:rsidRDefault="0033344F" w:rsidP="003D3B44">
      <w:pPr>
        <w:rPr>
          <w:rFonts w:ascii="Cambria" w:hAnsi="Cambria"/>
        </w:rPr>
      </w:pPr>
    </w:p>
    <w:p w14:paraId="1722B27B" w14:textId="7B664381" w:rsidR="00DC1DF9" w:rsidRPr="008F6D53" w:rsidRDefault="00DC1DF9" w:rsidP="00DC1DF9">
      <w:pPr>
        <w:jc w:val="both"/>
        <w:rPr>
          <w:rFonts w:ascii="Cambria" w:hAnsi="Cambria"/>
        </w:rPr>
      </w:pPr>
      <w:r w:rsidRPr="008F6D53">
        <w:rPr>
          <w:rFonts w:ascii="Cambria" w:hAnsi="Cambria"/>
        </w:rPr>
        <w:t xml:space="preserve">In summary, </w:t>
      </w:r>
      <w:r w:rsidR="00B358FB" w:rsidRPr="008F6D53">
        <w:rPr>
          <w:rFonts w:ascii="Cambria" w:hAnsi="Cambria"/>
        </w:rPr>
        <w:t xml:space="preserve">there has been a significant increase in the number of people who have failed to pay fines/infringement notices and as a result their drivers’ licences and vehicle registrations have been suspended. There </w:t>
      </w:r>
      <w:r w:rsidRPr="008F6D53">
        <w:rPr>
          <w:rFonts w:ascii="Cambria" w:hAnsi="Cambria"/>
        </w:rPr>
        <w:t xml:space="preserve">has </w:t>
      </w:r>
      <w:r w:rsidR="00B358FB" w:rsidRPr="008F6D53">
        <w:rPr>
          <w:rFonts w:ascii="Cambria" w:hAnsi="Cambria"/>
        </w:rPr>
        <w:t xml:space="preserve">also </w:t>
      </w:r>
      <w:r w:rsidRPr="008F6D53">
        <w:rPr>
          <w:rFonts w:ascii="Cambria" w:hAnsi="Cambria"/>
        </w:rPr>
        <w:t xml:space="preserve">been a significant increase in the number of people seeking to pay fines in instalments. </w:t>
      </w:r>
    </w:p>
    <w:p w14:paraId="28D102AC" w14:textId="77777777" w:rsidR="00FC79AA" w:rsidRPr="008F6D53" w:rsidRDefault="00FC79AA" w:rsidP="00DC1DF9">
      <w:pPr>
        <w:jc w:val="both"/>
        <w:rPr>
          <w:rFonts w:ascii="Cambria" w:hAnsi="Cambria"/>
        </w:rPr>
      </w:pPr>
    </w:p>
    <w:p w14:paraId="0A342DD3" w14:textId="605F4275" w:rsidR="00FC79AA" w:rsidRPr="008F6D53" w:rsidRDefault="00FC79AA" w:rsidP="00DC1DF9">
      <w:pPr>
        <w:jc w:val="both"/>
        <w:rPr>
          <w:rFonts w:ascii="Cambria" w:hAnsi="Cambria"/>
          <w:b/>
          <w:bCs/>
        </w:rPr>
      </w:pPr>
      <w:r w:rsidRPr="008F6D53">
        <w:rPr>
          <w:rFonts w:ascii="Cambria" w:hAnsi="Cambria"/>
          <w:b/>
          <w:bCs/>
        </w:rPr>
        <w:t>The Bill</w:t>
      </w:r>
    </w:p>
    <w:p w14:paraId="79312EC2" w14:textId="56B666CB" w:rsidR="00AC018D" w:rsidRPr="008F6D53" w:rsidRDefault="00FC79AA" w:rsidP="00FC79AA">
      <w:pPr>
        <w:jc w:val="both"/>
        <w:rPr>
          <w:rFonts w:ascii="Cambria" w:hAnsi="Cambria"/>
        </w:rPr>
      </w:pPr>
      <w:r w:rsidRPr="008F6D53">
        <w:rPr>
          <w:rFonts w:ascii="Cambria" w:hAnsi="Cambria"/>
        </w:rPr>
        <w:t xml:space="preserve">Section 84 of the Act provides </w:t>
      </w:r>
      <w:r w:rsidR="00AC018D" w:rsidRPr="008F6D53">
        <w:rPr>
          <w:rFonts w:ascii="Cambria" w:hAnsi="Cambria"/>
        </w:rPr>
        <w:t>MPES</w:t>
      </w:r>
      <w:r w:rsidRPr="008F6D53">
        <w:rPr>
          <w:rFonts w:ascii="Cambria" w:hAnsi="Cambria"/>
        </w:rPr>
        <w:t xml:space="preserve"> with the power to issue an order on an employer to redirect employee earnings so that a debt is paid. </w:t>
      </w:r>
      <w:r w:rsidR="00B358FB" w:rsidRPr="008F6D53">
        <w:rPr>
          <w:rFonts w:ascii="Cambria" w:hAnsi="Cambria"/>
        </w:rPr>
        <w:t>The proposed c</w:t>
      </w:r>
      <w:r w:rsidRPr="008F6D53">
        <w:rPr>
          <w:rFonts w:ascii="Cambria" w:hAnsi="Cambria"/>
        </w:rPr>
        <w:t xml:space="preserve">lause 99A of the Bill will </w:t>
      </w:r>
      <w:r w:rsidR="00AC018D" w:rsidRPr="008F6D53">
        <w:rPr>
          <w:rFonts w:ascii="Cambria" w:hAnsi="Cambria"/>
        </w:rPr>
        <w:t xml:space="preserve">ensure that </w:t>
      </w:r>
      <w:r w:rsidRPr="008F6D53">
        <w:rPr>
          <w:rFonts w:ascii="Cambria" w:hAnsi="Cambria"/>
        </w:rPr>
        <w:t>the Director</w:t>
      </w:r>
      <w:r w:rsidR="00AC018D" w:rsidRPr="008F6D53">
        <w:rPr>
          <w:rFonts w:ascii="Cambria" w:hAnsi="Cambria"/>
        </w:rPr>
        <w:t xml:space="preserve"> </w:t>
      </w:r>
      <w:r w:rsidRPr="008F6D53">
        <w:rPr>
          <w:rFonts w:ascii="Cambria" w:hAnsi="Cambria"/>
        </w:rPr>
        <w:t xml:space="preserve">consider the financial circumstances of the </w:t>
      </w:r>
      <w:r w:rsidR="00B358FB" w:rsidRPr="008F6D53">
        <w:rPr>
          <w:rFonts w:ascii="Cambria" w:hAnsi="Cambria"/>
        </w:rPr>
        <w:t>debtor</w:t>
      </w:r>
      <w:r w:rsidRPr="008F6D53">
        <w:rPr>
          <w:rFonts w:ascii="Cambria" w:hAnsi="Cambria"/>
        </w:rPr>
        <w:t xml:space="preserve"> including their ability to satisfy the debt, their necessary living expenses and any other liabilities</w:t>
      </w:r>
      <w:r w:rsidR="00AC018D" w:rsidRPr="008F6D53">
        <w:rPr>
          <w:rFonts w:ascii="Cambria" w:hAnsi="Cambria"/>
        </w:rPr>
        <w:t>:</w:t>
      </w:r>
    </w:p>
    <w:p w14:paraId="41138D92" w14:textId="77777777" w:rsidR="00AC018D" w:rsidRPr="008F6D53" w:rsidRDefault="00AC018D" w:rsidP="00FC79AA">
      <w:pPr>
        <w:jc w:val="both"/>
        <w:rPr>
          <w:rFonts w:ascii="Cambria" w:hAnsi="Cambria"/>
        </w:rPr>
      </w:pPr>
    </w:p>
    <w:p w14:paraId="67982B63" w14:textId="77777777" w:rsidR="00AC018D" w:rsidRPr="008F6D53" w:rsidRDefault="00AC018D" w:rsidP="00AC018D">
      <w:pPr>
        <w:ind w:left="720"/>
        <w:rPr>
          <w:rFonts w:ascii="Cambria" w:hAnsi="Cambria"/>
          <w:b/>
          <w:bCs/>
          <w:i/>
          <w:iCs/>
        </w:rPr>
      </w:pPr>
      <w:r w:rsidRPr="008F6D53">
        <w:rPr>
          <w:rFonts w:ascii="Cambria" w:hAnsi="Cambria"/>
          <w:b/>
          <w:bCs/>
          <w:i/>
          <w:iCs/>
        </w:rPr>
        <w:t>99A. Director to have regard to enforcement debtor’s financial circumstances</w:t>
      </w:r>
    </w:p>
    <w:p w14:paraId="53C55998" w14:textId="77777777" w:rsidR="00AC018D" w:rsidRPr="008F6D53" w:rsidRDefault="00AC018D" w:rsidP="00AC018D">
      <w:pPr>
        <w:ind w:left="720"/>
        <w:rPr>
          <w:rFonts w:ascii="Cambria" w:hAnsi="Cambria"/>
          <w:i/>
          <w:iCs/>
        </w:rPr>
      </w:pPr>
      <w:r w:rsidRPr="008F6D53">
        <w:rPr>
          <w:rFonts w:ascii="Cambria" w:hAnsi="Cambria"/>
          <w:i/>
          <w:iCs/>
        </w:rPr>
        <w:t>In deciding whether to issue a redirection of money owing order under section 84(2)(b) to redirect all or part of a debt owed to an enforcement debtor, the Director must consider any evidence before the Director that is relevant to –</w:t>
      </w:r>
    </w:p>
    <w:p w14:paraId="550AF3E2" w14:textId="77777777" w:rsidR="00AC018D" w:rsidRPr="008F6D53" w:rsidRDefault="00AC018D" w:rsidP="008F6D53">
      <w:pPr>
        <w:ind w:left="720" w:firstLine="720"/>
        <w:rPr>
          <w:rFonts w:ascii="Cambria" w:hAnsi="Cambria"/>
          <w:i/>
          <w:iCs/>
        </w:rPr>
      </w:pPr>
      <w:r w:rsidRPr="008F6D53">
        <w:rPr>
          <w:rFonts w:ascii="Cambria" w:hAnsi="Cambria"/>
          <w:i/>
          <w:iCs/>
        </w:rPr>
        <w:t>(a) the enforcement debtor’s ability to satisfy the debt; and</w:t>
      </w:r>
    </w:p>
    <w:p w14:paraId="203B12E0" w14:textId="77777777" w:rsidR="00AC018D" w:rsidRPr="008F6D53" w:rsidRDefault="00AC018D" w:rsidP="008F6D53">
      <w:pPr>
        <w:ind w:left="720" w:firstLine="720"/>
        <w:rPr>
          <w:rFonts w:ascii="Cambria" w:hAnsi="Cambria"/>
          <w:i/>
          <w:iCs/>
        </w:rPr>
      </w:pPr>
      <w:r w:rsidRPr="008F6D53">
        <w:rPr>
          <w:rFonts w:ascii="Cambria" w:hAnsi="Cambria"/>
          <w:i/>
          <w:iCs/>
        </w:rPr>
        <w:t>(b) the enforcement debtor’s necessary living expenses; and</w:t>
      </w:r>
    </w:p>
    <w:p w14:paraId="154FD2D3" w14:textId="77777777" w:rsidR="00AC018D" w:rsidRPr="008F6D53" w:rsidRDefault="00AC018D" w:rsidP="008F6D53">
      <w:pPr>
        <w:ind w:left="720" w:firstLine="720"/>
        <w:rPr>
          <w:rFonts w:ascii="Cambria" w:hAnsi="Cambria"/>
          <w:i/>
          <w:iCs/>
        </w:rPr>
      </w:pPr>
      <w:r w:rsidRPr="008F6D53">
        <w:rPr>
          <w:rFonts w:ascii="Cambria" w:hAnsi="Cambria"/>
          <w:i/>
          <w:iCs/>
        </w:rPr>
        <w:t>(c) any other liabilities of the enforcement debtor.</w:t>
      </w:r>
    </w:p>
    <w:p w14:paraId="19608E5C" w14:textId="77777777" w:rsidR="00AC018D" w:rsidRPr="008F6D53" w:rsidRDefault="00AC018D" w:rsidP="00FC79AA">
      <w:pPr>
        <w:jc w:val="both"/>
        <w:rPr>
          <w:rFonts w:ascii="Cambria" w:hAnsi="Cambria"/>
        </w:rPr>
      </w:pPr>
    </w:p>
    <w:p w14:paraId="269F217E" w14:textId="545EAFAF" w:rsidR="00AC018D" w:rsidRPr="008F6D53" w:rsidRDefault="00FC79AA" w:rsidP="00FC79AA">
      <w:pPr>
        <w:jc w:val="both"/>
        <w:rPr>
          <w:rFonts w:ascii="Cambria" w:hAnsi="Cambria"/>
          <w:b/>
          <w:bCs/>
        </w:rPr>
      </w:pPr>
      <w:r w:rsidRPr="008F6D53">
        <w:rPr>
          <w:rFonts w:ascii="Cambria" w:hAnsi="Cambria"/>
        </w:rPr>
        <w:t xml:space="preserve">We support the proposed clause 99A because it will </w:t>
      </w:r>
      <w:r w:rsidR="00B358FB" w:rsidRPr="008F6D53">
        <w:rPr>
          <w:rFonts w:ascii="Cambria" w:hAnsi="Cambria"/>
        </w:rPr>
        <w:t>promote</w:t>
      </w:r>
      <w:r w:rsidRPr="008F6D53">
        <w:rPr>
          <w:rFonts w:ascii="Cambria" w:hAnsi="Cambria"/>
        </w:rPr>
        <w:t xml:space="preserve"> transparency of decision-making, allowing MPES to </w:t>
      </w:r>
      <w:r w:rsidR="00B358FB" w:rsidRPr="008F6D53">
        <w:rPr>
          <w:rFonts w:ascii="Cambria" w:hAnsi="Cambria"/>
        </w:rPr>
        <w:t>improve its decision-making by ensuring that</w:t>
      </w:r>
      <w:r w:rsidRPr="008F6D53">
        <w:rPr>
          <w:rFonts w:ascii="Cambria" w:hAnsi="Cambria"/>
        </w:rPr>
        <w:t xml:space="preserve"> the financial circumstances of the debtor </w:t>
      </w:r>
      <w:r w:rsidR="00B358FB" w:rsidRPr="008F6D53">
        <w:rPr>
          <w:rFonts w:ascii="Cambria" w:hAnsi="Cambria"/>
        </w:rPr>
        <w:t xml:space="preserve">are </w:t>
      </w:r>
      <w:r w:rsidR="008F6D53" w:rsidRPr="008F6D53">
        <w:rPr>
          <w:rFonts w:ascii="Cambria" w:hAnsi="Cambria"/>
        </w:rPr>
        <w:t>considered</w:t>
      </w:r>
      <w:r w:rsidR="00B358FB" w:rsidRPr="008F6D53">
        <w:rPr>
          <w:rFonts w:ascii="Cambria" w:hAnsi="Cambria"/>
        </w:rPr>
        <w:t xml:space="preserve"> as well as supporting </w:t>
      </w:r>
      <w:r w:rsidRPr="008F6D53">
        <w:rPr>
          <w:rFonts w:ascii="Cambria" w:hAnsi="Cambria"/>
        </w:rPr>
        <w:t>the</w:t>
      </w:r>
      <w:r w:rsidR="00B358FB" w:rsidRPr="008F6D53">
        <w:rPr>
          <w:rFonts w:ascii="Cambria" w:hAnsi="Cambria"/>
        </w:rPr>
        <w:t xml:space="preserve"> </w:t>
      </w:r>
      <w:r w:rsidRPr="008F6D53">
        <w:rPr>
          <w:rFonts w:ascii="Cambria" w:hAnsi="Cambria"/>
        </w:rPr>
        <w:t xml:space="preserve">debtor to </w:t>
      </w:r>
      <w:r w:rsidR="00B358FB" w:rsidRPr="008F6D53">
        <w:rPr>
          <w:rFonts w:ascii="Cambria" w:hAnsi="Cambria"/>
        </w:rPr>
        <w:t xml:space="preserve">better </w:t>
      </w:r>
      <w:r w:rsidRPr="008F6D53">
        <w:rPr>
          <w:rFonts w:ascii="Cambria" w:hAnsi="Cambria"/>
        </w:rPr>
        <w:t>understand how MPES arrived at its decision.</w:t>
      </w:r>
      <w:r w:rsidRPr="008F6D53">
        <w:rPr>
          <w:rFonts w:ascii="Cambria" w:hAnsi="Cambria"/>
          <w:b/>
          <w:bCs/>
        </w:rPr>
        <w:t xml:space="preserve">   </w:t>
      </w:r>
    </w:p>
    <w:p w14:paraId="14D014D9" w14:textId="77777777" w:rsidR="00AC018D" w:rsidRPr="008F6D53" w:rsidRDefault="00AC018D" w:rsidP="00FC79AA">
      <w:pPr>
        <w:jc w:val="both"/>
        <w:rPr>
          <w:rFonts w:ascii="Cambria" w:hAnsi="Cambria"/>
          <w:b/>
          <w:bCs/>
        </w:rPr>
      </w:pPr>
    </w:p>
    <w:p w14:paraId="4A91CD5A" w14:textId="00D9AA08" w:rsidR="00FC79AA" w:rsidRPr="008F6D53" w:rsidRDefault="00FC79AA" w:rsidP="00AC018D">
      <w:pPr>
        <w:jc w:val="both"/>
        <w:rPr>
          <w:rFonts w:ascii="Cambria" w:hAnsi="Cambria"/>
        </w:rPr>
      </w:pPr>
      <w:r w:rsidRPr="008F6D53">
        <w:rPr>
          <w:rFonts w:ascii="Cambria" w:hAnsi="Cambria"/>
        </w:rPr>
        <w:t>However, we</w:t>
      </w:r>
      <w:r w:rsidR="00AC018D" w:rsidRPr="008F6D53">
        <w:rPr>
          <w:rFonts w:ascii="Cambria" w:hAnsi="Cambria"/>
        </w:rPr>
        <w:t xml:space="preserve"> </w:t>
      </w:r>
      <w:r w:rsidR="00B358FB" w:rsidRPr="008F6D53">
        <w:rPr>
          <w:rFonts w:ascii="Cambria" w:hAnsi="Cambria"/>
        </w:rPr>
        <w:t xml:space="preserve">strongly </w:t>
      </w:r>
      <w:r w:rsidRPr="008F6D53">
        <w:rPr>
          <w:rFonts w:ascii="Cambria" w:hAnsi="Cambria"/>
        </w:rPr>
        <w:t xml:space="preserve">recommend that </w:t>
      </w:r>
      <w:r w:rsidR="00AC018D" w:rsidRPr="008F6D53">
        <w:rPr>
          <w:rFonts w:ascii="Cambria" w:hAnsi="Cambria"/>
        </w:rPr>
        <w:t xml:space="preserve">the Act include </w:t>
      </w:r>
      <w:r w:rsidRPr="008F6D53">
        <w:rPr>
          <w:rFonts w:ascii="Cambria" w:hAnsi="Cambria"/>
        </w:rPr>
        <w:t xml:space="preserve">an additional safeguard, namely the ability of the </w:t>
      </w:r>
      <w:r w:rsidR="00B358FB" w:rsidRPr="008F6D53">
        <w:rPr>
          <w:rFonts w:ascii="Cambria" w:hAnsi="Cambria"/>
        </w:rPr>
        <w:t>debtor</w:t>
      </w:r>
      <w:r w:rsidRPr="008F6D53">
        <w:rPr>
          <w:rFonts w:ascii="Cambria" w:hAnsi="Cambria"/>
        </w:rPr>
        <w:t xml:space="preserve"> to challenge the </w:t>
      </w:r>
      <w:r w:rsidR="00AC018D" w:rsidRPr="008F6D53">
        <w:rPr>
          <w:rFonts w:ascii="Cambria" w:hAnsi="Cambria"/>
        </w:rPr>
        <w:t xml:space="preserve">MPES </w:t>
      </w:r>
      <w:r w:rsidRPr="008F6D53">
        <w:rPr>
          <w:rFonts w:ascii="Cambria" w:hAnsi="Cambria"/>
        </w:rPr>
        <w:t>decision</w:t>
      </w:r>
      <w:r w:rsidR="00AC018D" w:rsidRPr="008F6D53">
        <w:rPr>
          <w:rFonts w:ascii="Cambria" w:hAnsi="Cambria"/>
        </w:rPr>
        <w:t xml:space="preserve"> </w:t>
      </w:r>
      <w:r w:rsidRPr="008F6D53">
        <w:rPr>
          <w:rFonts w:ascii="Cambria" w:hAnsi="Cambria"/>
        </w:rPr>
        <w:t xml:space="preserve">before an independent decision-maker. </w:t>
      </w:r>
      <w:r w:rsidR="00AC018D" w:rsidRPr="008F6D53">
        <w:rPr>
          <w:rFonts w:ascii="Cambria" w:hAnsi="Cambria"/>
        </w:rPr>
        <w:t>T</w:t>
      </w:r>
      <w:r w:rsidR="00B358FB" w:rsidRPr="008F6D53">
        <w:rPr>
          <w:rFonts w:ascii="Cambria" w:hAnsi="Cambria"/>
        </w:rPr>
        <w:t>he inclusion of an external review sh</w:t>
      </w:r>
      <w:r w:rsidR="00AC018D" w:rsidRPr="008F6D53">
        <w:rPr>
          <w:rFonts w:ascii="Cambria" w:hAnsi="Cambria"/>
        </w:rPr>
        <w:t xml:space="preserve">ould include the amount that is ordered to be redirected pursuant to clause 99A above but also </w:t>
      </w:r>
      <w:r w:rsidR="00B358FB" w:rsidRPr="008F6D53">
        <w:rPr>
          <w:rFonts w:ascii="Cambria" w:hAnsi="Cambria"/>
        </w:rPr>
        <w:t xml:space="preserve">apply to </w:t>
      </w:r>
      <w:r w:rsidR="00AC018D" w:rsidRPr="008F6D53">
        <w:rPr>
          <w:rFonts w:ascii="Cambria" w:hAnsi="Cambria"/>
        </w:rPr>
        <w:t xml:space="preserve">sections 29 and 33 of the Act </w:t>
      </w:r>
      <w:r w:rsidR="00B358FB" w:rsidRPr="008F6D53">
        <w:rPr>
          <w:rFonts w:ascii="Cambria" w:hAnsi="Cambria"/>
        </w:rPr>
        <w:t xml:space="preserve">which </w:t>
      </w:r>
      <w:r w:rsidR="00AC018D" w:rsidRPr="008F6D53">
        <w:rPr>
          <w:rFonts w:ascii="Cambria" w:hAnsi="Cambria"/>
        </w:rPr>
        <w:t xml:space="preserve">allow </w:t>
      </w:r>
      <w:r w:rsidR="00B358FB" w:rsidRPr="008F6D53">
        <w:rPr>
          <w:rFonts w:ascii="Cambria" w:hAnsi="Cambria"/>
        </w:rPr>
        <w:t>a debtor</w:t>
      </w:r>
      <w:r w:rsidR="00AC018D" w:rsidRPr="008F6D53">
        <w:rPr>
          <w:rFonts w:ascii="Cambria" w:hAnsi="Cambria"/>
        </w:rPr>
        <w:t xml:space="preserve"> to seek a variation of payment conditions and the imposition of a Monetary Penalty Community Service Order (MPCSO). </w:t>
      </w:r>
      <w:r w:rsidRPr="008F6D53">
        <w:rPr>
          <w:rFonts w:ascii="Cambria" w:hAnsi="Cambria"/>
        </w:rPr>
        <w:t xml:space="preserve">In New South Wales for example, a Hardship Review Board </w:t>
      </w:r>
      <w:r w:rsidR="00B358FB" w:rsidRPr="008F6D53">
        <w:rPr>
          <w:rFonts w:ascii="Cambria" w:hAnsi="Cambria"/>
        </w:rPr>
        <w:t>has</w:t>
      </w:r>
      <w:r w:rsidRPr="008F6D53">
        <w:rPr>
          <w:rFonts w:ascii="Cambria" w:hAnsi="Cambria"/>
        </w:rPr>
        <w:t xml:space="preserve"> the </w:t>
      </w:r>
      <w:r w:rsidR="00B358FB" w:rsidRPr="008F6D53">
        <w:rPr>
          <w:rFonts w:ascii="Cambria" w:hAnsi="Cambria"/>
        </w:rPr>
        <w:t>power</w:t>
      </w:r>
      <w:r w:rsidRPr="008F6D53">
        <w:rPr>
          <w:rFonts w:ascii="Cambria" w:hAnsi="Cambria"/>
        </w:rPr>
        <w:t xml:space="preserve"> to review payment plans, </w:t>
      </w:r>
      <w:r w:rsidR="00AC018D" w:rsidRPr="008F6D53">
        <w:rPr>
          <w:rFonts w:ascii="Cambria" w:hAnsi="Cambria"/>
        </w:rPr>
        <w:t>community service orders</w:t>
      </w:r>
      <w:r w:rsidRPr="008F6D53">
        <w:rPr>
          <w:rFonts w:ascii="Cambria" w:hAnsi="Cambria"/>
        </w:rPr>
        <w:t xml:space="preserve"> and </w:t>
      </w:r>
      <w:r w:rsidR="00AC018D" w:rsidRPr="008F6D53">
        <w:rPr>
          <w:rFonts w:ascii="Cambria" w:hAnsi="Cambria"/>
        </w:rPr>
        <w:t xml:space="preserve">the </w:t>
      </w:r>
      <w:r w:rsidRPr="008F6D53">
        <w:rPr>
          <w:rFonts w:ascii="Cambria" w:hAnsi="Cambria"/>
        </w:rPr>
        <w:t xml:space="preserve">writing-off </w:t>
      </w:r>
      <w:r w:rsidR="00AC018D" w:rsidRPr="008F6D53">
        <w:rPr>
          <w:rFonts w:ascii="Cambria" w:hAnsi="Cambria"/>
        </w:rPr>
        <w:t>of fines</w:t>
      </w:r>
      <w:r w:rsidRPr="008F6D53">
        <w:rPr>
          <w:rFonts w:ascii="Cambria" w:hAnsi="Cambria"/>
        </w:rPr>
        <w:t>.</w:t>
      </w:r>
      <w:r w:rsidRPr="008F6D53">
        <w:rPr>
          <w:rStyle w:val="FootnoteReference"/>
          <w:rFonts w:ascii="Cambria" w:hAnsi="Cambria"/>
        </w:rPr>
        <w:footnoteReference w:id="5"/>
      </w:r>
      <w:r w:rsidRPr="008F6D53">
        <w:rPr>
          <w:rFonts w:ascii="Cambria" w:hAnsi="Cambria"/>
        </w:rPr>
        <w:t xml:space="preserve"> </w:t>
      </w:r>
      <w:r w:rsidR="00AC018D" w:rsidRPr="008F6D53">
        <w:rPr>
          <w:rFonts w:ascii="Cambria" w:hAnsi="Cambria"/>
        </w:rPr>
        <w:t xml:space="preserve">Given that the MPES decision is an administrative decision, we believe that TASCAT with its accessible, affordable and expedient decision-making </w:t>
      </w:r>
      <w:r w:rsidR="00B358FB" w:rsidRPr="008F6D53">
        <w:rPr>
          <w:rFonts w:ascii="Cambria" w:hAnsi="Cambria"/>
        </w:rPr>
        <w:t>would be an</w:t>
      </w:r>
      <w:r w:rsidR="00AC018D" w:rsidRPr="008F6D53">
        <w:rPr>
          <w:rFonts w:ascii="Cambria" w:hAnsi="Cambria"/>
        </w:rPr>
        <w:t xml:space="preserve"> appropriate independent decision-maker.  </w:t>
      </w:r>
    </w:p>
    <w:p w14:paraId="240B4C01" w14:textId="77777777" w:rsidR="00B358FB" w:rsidRDefault="00B358FB" w:rsidP="00AC018D">
      <w:pPr>
        <w:jc w:val="both"/>
        <w:rPr>
          <w:rFonts w:ascii="Cambria" w:hAnsi="Cambria"/>
        </w:rPr>
      </w:pPr>
    </w:p>
    <w:p w14:paraId="63F02D2A" w14:textId="77777777" w:rsidR="008F6D53" w:rsidRPr="008F6D53" w:rsidRDefault="008F6D53" w:rsidP="00AC018D">
      <w:pPr>
        <w:jc w:val="both"/>
        <w:rPr>
          <w:rFonts w:ascii="Cambria" w:hAnsi="Cambria"/>
        </w:rPr>
      </w:pPr>
    </w:p>
    <w:p w14:paraId="72802306" w14:textId="6BDCEAA9" w:rsidR="00AC018D" w:rsidRPr="008F6D53" w:rsidRDefault="00AC018D" w:rsidP="00AC018D">
      <w:pPr>
        <w:pStyle w:val="ListParagraph"/>
        <w:numPr>
          <w:ilvl w:val="0"/>
          <w:numId w:val="1"/>
        </w:numPr>
        <w:jc w:val="both"/>
        <w:rPr>
          <w:rFonts w:ascii="Cambria" w:hAnsi="Cambria"/>
          <w:b/>
          <w:bCs/>
          <w:i/>
          <w:iCs/>
        </w:rPr>
      </w:pPr>
      <w:r w:rsidRPr="008F6D53">
        <w:rPr>
          <w:rFonts w:ascii="Cambria" w:hAnsi="Cambria"/>
          <w:b/>
          <w:bCs/>
          <w:i/>
          <w:iCs/>
        </w:rPr>
        <w:lastRenderedPageBreak/>
        <w:t>Alternative Orders</w:t>
      </w:r>
    </w:p>
    <w:p w14:paraId="42CD4A35" w14:textId="2A485A63" w:rsidR="00B358FB" w:rsidRPr="008F6D53" w:rsidRDefault="00AC018D" w:rsidP="00B358FB">
      <w:pPr>
        <w:jc w:val="both"/>
        <w:rPr>
          <w:rFonts w:ascii="Cambria" w:hAnsi="Cambria"/>
        </w:rPr>
      </w:pPr>
      <w:r w:rsidRPr="008F6D53">
        <w:rPr>
          <w:rFonts w:ascii="Cambria" w:hAnsi="Cambria"/>
        </w:rPr>
        <w:t xml:space="preserve">The Act currently provides that </w:t>
      </w:r>
      <w:r w:rsidR="00B358FB" w:rsidRPr="008F6D53">
        <w:rPr>
          <w:rFonts w:ascii="Cambria" w:hAnsi="Cambria"/>
        </w:rPr>
        <w:t xml:space="preserve">offenders must </w:t>
      </w:r>
      <w:r w:rsidRPr="008F6D53">
        <w:rPr>
          <w:rFonts w:ascii="Cambria" w:hAnsi="Cambria"/>
        </w:rPr>
        <w:t>pay their monetary penalty or if</w:t>
      </w:r>
      <w:r w:rsidR="00B358FB" w:rsidRPr="008F6D53">
        <w:rPr>
          <w:rFonts w:ascii="Cambria" w:hAnsi="Cambria"/>
        </w:rPr>
        <w:t xml:space="preserve"> impecunious are </w:t>
      </w:r>
      <w:r w:rsidRPr="008F6D53">
        <w:rPr>
          <w:rFonts w:ascii="Cambria" w:hAnsi="Cambria"/>
        </w:rPr>
        <w:t>referred to Community Corrections to be assessed for</w:t>
      </w:r>
      <w:r w:rsidR="00B358FB" w:rsidRPr="008F6D53">
        <w:rPr>
          <w:rFonts w:ascii="Cambria" w:hAnsi="Cambria"/>
        </w:rPr>
        <w:t xml:space="preserve"> </w:t>
      </w:r>
      <w:r w:rsidRPr="008F6D53">
        <w:rPr>
          <w:rFonts w:ascii="Cambria" w:hAnsi="Cambria"/>
        </w:rPr>
        <w:t>a Monetary Penalty Community Service Order</w:t>
      </w:r>
      <w:r w:rsidR="00B358FB" w:rsidRPr="008F6D53">
        <w:rPr>
          <w:rFonts w:ascii="Cambria" w:hAnsi="Cambria"/>
        </w:rPr>
        <w:t xml:space="preserve"> (MPCSO)</w:t>
      </w:r>
      <w:r w:rsidRPr="008F6D53">
        <w:rPr>
          <w:rFonts w:ascii="Cambria" w:hAnsi="Cambria"/>
        </w:rPr>
        <w:t>.</w:t>
      </w:r>
      <w:r w:rsidRPr="008F6D53">
        <w:rPr>
          <w:rStyle w:val="FootnoteReference"/>
          <w:rFonts w:ascii="Cambria" w:hAnsi="Cambria"/>
        </w:rPr>
        <w:footnoteReference w:id="6"/>
      </w:r>
      <w:r w:rsidRPr="008F6D53">
        <w:rPr>
          <w:rFonts w:ascii="Cambria" w:hAnsi="Cambria"/>
        </w:rPr>
        <w:t xml:space="preserve">  Whilst we support the </w:t>
      </w:r>
      <w:r w:rsidR="00B358FB" w:rsidRPr="008F6D53">
        <w:rPr>
          <w:rFonts w:ascii="Cambria" w:hAnsi="Cambria"/>
        </w:rPr>
        <w:t>inclusion</w:t>
      </w:r>
      <w:r w:rsidRPr="008F6D53">
        <w:rPr>
          <w:rFonts w:ascii="Cambria" w:hAnsi="Cambria"/>
        </w:rPr>
        <w:t xml:space="preserve"> of</w:t>
      </w:r>
      <w:r w:rsidR="00B358FB" w:rsidRPr="008F6D53">
        <w:rPr>
          <w:rFonts w:ascii="Cambria" w:hAnsi="Cambria"/>
        </w:rPr>
        <w:t xml:space="preserve"> a MPCSO as an alternative to</w:t>
      </w:r>
      <w:r w:rsidRPr="008F6D53">
        <w:rPr>
          <w:rFonts w:ascii="Cambria" w:hAnsi="Cambria"/>
        </w:rPr>
        <w:t xml:space="preserve"> payment of monetary penalties, we believe that</w:t>
      </w:r>
      <w:r w:rsidR="00B358FB" w:rsidRPr="008F6D53">
        <w:rPr>
          <w:rFonts w:ascii="Cambria" w:hAnsi="Cambria"/>
        </w:rPr>
        <w:t xml:space="preserve"> treatment orders should also be made available to disadvantaged debtors as a means of finalising the debt. </w:t>
      </w:r>
      <w:r w:rsidRPr="008F6D53">
        <w:rPr>
          <w:rFonts w:ascii="Cambria" w:hAnsi="Cambria"/>
        </w:rPr>
        <w:t xml:space="preserve">In New South Wales and Victoria </w:t>
      </w:r>
      <w:r w:rsidR="00B358FB" w:rsidRPr="008F6D53">
        <w:rPr>
          <w:rFonts w:ascii="Cambria" w:hAnsi="Cambria"/>
        </w:rPr>
        <w:t>for example,</w:t>
      </w:r>
      <w:r w:rsidRPr="008F6D53">
        <w:rPr>
          <w:rFonts w:ascii="Cambria" w:hAnsi="Cambria"/>
        </w:rPr>
        <w:t xml:space="preserve"> </w:t>
      </w:r>
      <w:r w:rsidR="00B358FB" w:rsidRPr="008F6D53">
        <w:rPr>
          <w:rFonts w:ascii="Cambria" w:hAnsi="Cambria"/>
        </w:rPr>
        <w:t xml:space="preserve">debtors </w:t>
      </w:r>
      <w:r w:rsidRPr="008F6D53">
        <w:rPr>
          <w:rFonts w:ascii="Cambria" w:hAnsi="Cambria"/>
        </w:rPr>
        <w:t>ordered to undertake a Work and Development Order (NSW</w:t>
      </w:r>
      <w:proofErr w:type="gramStart"/>
      <w:r w:rsidRPr="008F6D53">
        <w:rPr>
          <w:rFonts w:ascii="Cambria" w:hAnsi="Cambria"/>
        </w:rPr>
        <w:t>)</w:t>
      </w:r>
      <w:proofErr w:type="gramEnd"/>
      <w:r w:rsidRPr="008F6D53">
        <w:rPr>
          <w:rFonts w:ascii="Cambria" w:hAnsi="Cambria"/>
        </w:rPr>
        <w:t xml:space="preserve"> or Work and Development Permit (Vic) </w:t>
      </w:r>
      <w:r w:rsidR="00B358FB" w:rsidRPr="008F6D53">
        <w:rPr>
          <w:rFonts w:ascii="Cambria" w:hAnsi="Cambria"/>
        </w:rPr>
        <w:t>can</w:t>
      </w:r>
      <w:r w:rsidRPr="008F6D53">
        <w:rPr>
          <w:rFonts w:ascii="Cambria" w:hAnsi="Cambria"/>
        </w:rPr>
        <w:t xml:space="preserve"> attend drug and alcohol programs, educational, vocational or life skills courses, receive medical or mental health treatment or attend counselling</w:t>
      </w:r>
      <w:r w:rsidR="00B358FB" w:rsidRPr="008F6D53">
        <w:rPr>
          <w:rFonts w:ascii="Cambria" w:hAnsi="Cambria"/>
        </w:rPr>
        <w:t xml:space="preserve"> as an alternative to payment of monetary penalties</w:t>
      </w:r>
      <w:r w:rsidRPr="008F6D53">
        <w:rPr>
          <w:rFonts w:ascii="Cambria" w:hAnsi="Cambria"/>
        </w:rPr>
        <w:t>.</w:t>
      </w:r>
      <w:r w:rsidRPr="008F6D53">
        <w:rPr>
          <w:rStyle w:val="FootnoteReference"/>
          <w:rFonts w:ascii="Cambria" w:hAnsi="Cambria"/>
        </w:rPr>
        <w:footnoteReference w:id="7"/>
      </w:r>
      <w:r w:rsidRPr="008F6D53">
        <w:rPr>
          <w:rFonts w:ascii="Cambria" w:hAnsi="Cambria"/>
        </w:rPr>
        <w:t xml:space="preserve">  </w:t>
      </w:r>
    </w:p>
    <w:p w14:paraId="3EAB793F" w14:textId="77777777" w:rsidR="00B358FB" w:rsidRPr="008F6D53" w:rsidRDefault="00B358FB" w:rsidP="00B358FB">
      <w:pPr>
        <w:jc w:val="both"/>
        <w:rPr>
          <w:rFonts w:ascii="Cambria" w:hAnsi="Cambria"/>
        </w:rPr>
      </w:pPr>
    </w:p>
    <w:p w14:paraId="1F70FEF0" w14:textId="77777777" w:rsidR="00B358FB" w:rsidRPr="008F6D53" w:rsidRDefault="00B358FB" w:rsidP="00B358FB">
      <w:pPr>
        <w:jc w:val="both"/>
        <w:rPr>
          <w:rFonts w:ascii="Cambria" w:hAnsi="Cambria"/>
        </w:rPr>
      </w:pPr>
      <w:r w:rsidRPr="008F6D53">
        <w:rPr>
          <w:rFonts w:ascii="Cambria" w:hAnsi="Cambria"/>
        </w:rPr>
        <w:t>Although the Community Corrections website notes that debtors “may complete some of their hours by attending approved rehabilitative and educational courses or programs”,</w:t>
      </w:r>
      <w:r w:rsidRPr="008F6D53">
        <w:rPr>
          <w:rStyle w:val="FootnoteReference"/>
          <w:rFonts w:ascii="Cambria" w:hAnsi="Cambria"/>
        </w:rPr>
        <w:footnoteReference w:id="8"/>
      </w:r>
      <w:r w:rsidRPr="008F6D53">
        <w:rPr>
          <w:rFonts w:ascii="Cambria" w:hAnsi="Cambria"/>
        </w:rPr>
        <w:t xml:space="preserve"> none of these programs are available if a debtor has the financial means to pay the monetary penalty in full or in instalments,</w:t>
      </w:r>
      <w:r w:rsidRPr="008F6D53">
        <w:rPr>
          <w:rStyle w:val="FootnoteReference"/>
          <w:rFonts w:ascii="Cambria" w:hAnsi="Cambria"/>
        </w:rPr>
        <w:footnoteReference w:id="9"/>
      </w:r>
      <w:r w:rsidRPr="008F6D53">
        <w:rPr>
          <w:rFonts w:ascii="Cambria" w:hAnsi="Cambria"/>
        </w:rPr>
        <w:t xml:space="preserve"> with the Department of Justice noting that even “if a person’s only source of income is welfare benefits, then payments of $25 a fortnight are usually approved”.</w:t>
      </w:r>
      <w:r w:rsidRPr="008F6D53">
        <w:rPr>
          <w:rStyle w:val="FootnoteReference"/>
          <w:rFonts w:ascii="Cambria" w:hAnsi="Cambria"/>
        </w:rPr>
        <w:footnoteReference w:id="10"/>
      </w:r>
      <w:r w:rsidRPr="008F6D53">
        <w:rPr>
          <w:rFonts w:ascii="Cambria" w:hAnsi="Cambria"/>
        </w:rPr>
        <w:t xml:space="preserve"> The lack of alternative options for the disadvantaged is highlighted in the Department of Justice’s Annual Report which reported that over the last three years, 7 offenders in Tasmania (0.001) finalised their debts through undertaking community service whilst 358,946 debts were finalised in other ways, mostly by repayment of the monetary penalty.</w:t>
      </w:r>
      <w:r w:rsidRPr="008F6D53">
        <w:rPr>
          <w:rStyle w:val="FootnoteReference"/>
          <w:rFonts w:ascii="Cambria" w:hAnsi="Cambria"/>
        </w:rPr>
        <w:footnoteReference w:id="11"/>
      </w:r>
    </w:p>
    <w:p w14:paraId="56E246AA" w14:textId="77777777" w:rsidR="00B358FB" w:rsidRPr="008F6D53" w:rsidRDefault="00B358FB" w:rsidP="00B358FB">
      <w:pPr>
        <w:jc w:val="both"/>
        <w:rPr>
          <w:rFonts w:ascii="Cambria" w:hAnsi="Cambria"/>
        </w:rPr>
      </w:pPr>
    </w:p>
    <w:p w14:paraId="742D7F27" w14:textId="2A6F2C83" w:rsidR="00B358FB" w:rsidRPr="008F6D53" w:rsidRDefault="00B358FB" w:rsidP="00B358FB">
      <w:pPr>
        <w:jc w:val="both"/>
        <w:rPr>
          <w:rFonts w:ascii="Cambria" w:hAnsi="Cambria"/>
        </w:rPr>
      </w:pPr>
      <w:r w:rsidRPr="008F6D53">
        <w:rPr>
          <w:rFonts w:ascii="Cambria" w:hAnsi="Cambria"/>
        </w:rPr>
        <w:t xml:space="preserve">The paucity of alternative options in Tasmanian can be contrasted with Victoria and NSW where eligibility for a Work and Development Order (NSW) or Work and Development Permit (Vic) is based </w:t>
      </w:r>
      <w:r w:rsidR="008F6D53">
        <w:rPr>
          <w:rFonts w:ascii="Cambria" w:hAnsi="Cambria"/>
        </w:rPr>
        <w:t xml:space="preserve">solely </w:t>
      </w:r>
      <w:r w:rsidRPr="008F6D53">
        <w:rPr>
          <w:rFonts w:ascii="Cambria" w:hAnsi="Cambria"/>
        </w:rPr>
        <w:t>on a debtor having a monetary penalty and being disadvantaged due to having a mental or intellectual disability, disorder or illness; a drug or alcohol addiction; experiencing homelessness; acute financial hardship; or being a victim-survivor of family violence.</w:t>
      </w:r>
      <w:r w:rsidRPr="008F6D53">
        <w:rPr>
          <w:rStyle w:val="FootnoteReference"/>
          <w:rFonts w:ascii="Cambria" w:hAnsi="Cambria"/>
        </w:rPr>
        <w:footnoteReference w:id="12"/>
      </w:r>
      <w:r w:rsidRPr="008F6D53">
        <w:rPr>
          <w:rFonts w:ascii="Cambria" w:hAnsi="Cambria"/>
        </w:rPr>
        <w:t xml:space="preserve"> </w:t>
      </w:r>
    </w:p>
    <w:p w14:paraId="4D7F11AC" w14:textId="77777777" w:rsidR="00B358FB" w:rsidRPr="008F6D53" w:rsidRDefault="00B358FB" w:rsidP="00B358FB">
      <w:pPr>
        <w:jc w:val="both"/>
        <w:rPr>
          <w:rFonts w:ascii="Cambria" w:hAnsi="Cambria"/>
        </w:rPr>
      </w:pPr>
    </w:p>
    <w:p w14:paraId="044742E6" w14:textId="2C8F0000" w:rsidR="00FC79AA" w:rsidRPr="008F6D53" w:rsidRDefault="00B358FB" w:rsidP="00B358FB">
      <w:pPr>
        <w:jc w:val="both"/>
        <w:rPr>
          <w:rFonts w:ascii="Cambria" w:hAnsi="Cambria"/>
        </w:rPr>
      </w:pPr>
      <w:r w:rsidRPr="008F6D53">
        <w:rPr>
          <w:rFonts w:ascii="Cambria" w:hAnsi="Cambria"/>
        </w:rPr>
        <w:t xml:space="preserve">We strongly recommend the adoption of the Victorian and NSW models which provide for a much wider range of alternative options for repayment of monetary penalties and where the focus is on addressing the underlying cause/s of the </w:t>
      </w:r>
      <w:r w:rsidR="008F6D53">
        <w:rPr>
          <w:rFonts w:ascii="Cambria" w:hAnsi="Cambria"/>
        </w:rPr>
        <w:t>offending</w:t>
      </w:r>
      <w:r w:rsidRPr="008F6D53">
        <w:rPr>
          <w:rFonts w:ascii="Cambria" w:hAnsi="Cambria"/>
        </w:rPr>
        <w:t xml:space="preserve"> rather than the offender’s ability to pay. </w:t>
      </w:r>
    </w:p>
    <w:p w14:paraId="44C90AE2" w14:textId="77777777" w:rsidR="00B358FB" w:rsidRPr="008F6D53" w:rsidRDefault="00B358FB" w:rsidP="00B358FB">
      <w:pPr>
        <w:jc w:val="both"/>
        <w:rPr>
          <w:rFonts w:ascii="Cambria" w:hAnsi="Cambria"/>
        </w:rPr>
      </w:pPr>
    </w:p>
    <w:p w14:paraId="412D7BC2" w14:textId="3B830566" w:rsidR="00B358FB" w:rsidRPr="008F6D53" w:rsidRDefault="00B358FB" w:rsidP="00B358FB">
      <w:pPr>
        <w:pStyle w:val="ListParagraph"/>
        <w:numPr>
          <w:ilvl w:val="0"/>
          <w:numId w:val="1"/>
        </w:numPr>
        <w:jc w:val="both"/>
        <w:rPr>
          <w:rFonts w:ascii="Cambria" w:hAnsi="Cambria"/>
          <w:b/>
          <w:bCs/>
          <w:i/>
          <w:iCs/>
        </w:rPr>
      </w:pPr>
      <w:r w:rsidRPr="008F6D53">
        <w:rPr>
          <w:rFonts w:ascii="Cambria" w:hAnsi="Cambria"/>
          <w:b/>
          <w:bCs/>
          <w:i/>
          <w:iCs/>
        </w:rPr>
        <w:t xml:space="preserve">Obligation of authorised deposit-taking institutions </w:t>
      </w:r>
    </w:p>
    <w:p w14:paraId="51C6E111" w14:textId="54A684DE" w:rsidR="00B358FB" w:rsidRPr="008F6D53" w:rsidRDefault="00B358FB" w:rsidP="00B358FB">
      <w:pPr>
        <w:jc w:val="both"/>
        <w:rPr>
          <w:rFonts w:ascii="Cambria" w:hAnsi="Cambria"/>
        </w:rPr>
      </w:pPr>
      <w:r w:rsidRPr="008F6D53">
        <w:rPr>
          <w:rFonts w:ascii="Cambria" w:hAnsi="Cambria"/>
        </w:rPr>
        <w:t xml:space="preserve">Clause 99B of the Bill obliges banks to deduct money from an offender’s bank account to pay a monetary penalty. The clause requires banks to deduct the money within 2 days of being served with the order and can choose which of the offender’s accounts (including lesser amounts from multiple accounts) to ensure that the debt is repaid.     </w:t>
      </w:r>
    </w:p>
    <w:p w14:paraId="04AC126C" w14:textId="77777777" w:rsidR="00B358FB" w:rsidRPr="008F6D53" w:rsidRDefault="00B358FB" w:rsidP="00B358FB">
      <w:pPr>
        <w:jc w:val="both"/>
        <w:rPr>
          <w:rFonts w:ascii="Cambria" w:hAnsi="Cambria"/>
        </w:rPr>
      </w:pPr>
    </w:p>
    <w:p w14:paraId="3CDE137F" w14:textId="77777777" w:rsidR="00FC79AA" w:rsidRPr="008F6D53" w:rsidRDefault="00FC79AA" w:rsidP="00B358FB">
      <w:pPr>
        <w:ind w:left="720"/>
        <w:rPr>
          <w:rFonts w:ascii="Cambria" w:hAnsi="Cambria"/>
          <w:b/>
          <w:bCs/>
          <w:i/>
          <w:iCs/>
          <w:color w:val="000000" w:themeColor="text1"/>
        </w:rPr>
      </w:pPr>
      <w:r w:rsidRPr="008F6D53">
        <w:rPr>
          <w:rFonts w:ascii="Cambria" w:hAnsi="Cambria"/>
          <w:b/>
          <w:bCs/>
          <w:i/>
          <w:iCs/>
          <w:color w:val="000000" w:themeColor="text1"/>
        </w:rPr>
        <w:t>99B. Obligations of authorised deposit-taking institutions</w:t>
      </w:r>
    </w:p>
    <w:p w14:paraId="2E9ED3D7" w14:textId="77777777" w:rsidR="00FC79AA" w:rsidRPr="008F6D53" w:rsidRDefault="00FC79AA" w:rsidP="00B358FB">
      <w:pPr>
        <w:ind w:left="720"/>
        <w:rPr>
          <w:rFonts w:ascii="Cambria" w:hAnsi="Cambria"/>
          <w:i/>
          <w:iCs/>
          <w:color w:val="000000" w:themeColor="text1"/>
        </w:rPr>
      </w:pPr>
      <w:r w:rsidRPr="008F6D53">
        <w:rPr>
          <w:rFonts w:ascii="Cambria" w:hAnsi="Cambria"/>
          <w:i/>
          <w:iCs/>
          <w:color w:val="000000" w:themeColor="text1"/>
        </w:rPr>
        <w:t>(1) This section applies to an ADI that has been served by the Director with a redirection of money owing order.</w:t>
      </w:r>
    </w:p>
    <w:p w14:paraId="1E31BDBE" w14:textId="77777777" w:rsidR="00FC79AA" w:rsidRPr="008F6D53" w:rsidRDefault="00FC79AA" w:rsidP="00B358FB">
      <w:pPr>
        <w:ind w:left="720"/>
        <w:rPr>
          <w:rFonts w:ascii="Cambria" w:hAnsi="Cambria"/>
          <w:i/>
          <w:iCs/>
          <w:color w:val="000000" w:themeColor="text1"/>
        </w:rPr>
      </w:pPr>
      <w:r w:rsidRPr="008F6D53">
        <w:rPr>
          <w:rFonts w:ascii="Cambria" w:hAnsi="Cambria"/>
          <w:i/>
          <w:iCs/>
          <w:color w:val="000000" w:themeColor="text1"/>
        </w:rPr>
        <w:t>(2) An ADI must deduct from the account held by the enforcement debtor, in respect of whom the redirection of money owing order has been issued, the amount specified in the order.</w:t>
      </w:r>
    </w:p>
    <w:p w14:paraId="7548E54E" w14:textId="77777777" w:rsidR="00FC79AA" w:rsidRPr="008F6D53" w:rsidRDefault="00FC79AA" w:rsidP="00B358FB">
      <w:pPr>
        <w:ind w:left="720"/>
        <w:rPr>
          <w:rFonts w:ascii="Cambria" w:hAnsi="Cambria"/>
          <w:i/>
          <w:iCs/>
          <w:color w:val="000000" w:themeColor="text1"/>
        </w:rPr>
      </w:pPr>
      <w:r w:rsidRPr="008F6D53">
        <w:rPr>
          <w:rFonts w:ascii="Cambria" w:hAnsi="Cambria"/>
          <w:i/>
          <w:iCs/>
          <w:color w:val="000000" w:themeColor="text1"/>
        </w:rPr>
        <w:t>Penalty: Fine not exceeding 20 penalty units.</w:t>
      </w:r>
    </w:p>
    <w:p w14:paraId="0891E5E3" w14:textId="77777777" w:rsidR="00FC79AA" w:rsidRPr="008F6D53" w:rsidRDefault="00FC79AA" w:rsidP="00B358FB">
      <w:pPr>
        <w:ind w:left="720"/>
        <w:rPr>
          <w:rFonts w:ascii="Cambria" w:hAnsi="Cambria"/>
          <w:i/>
          <w:iCs/>
          <w:color w:val="000000" w:themeColor="text1"/>
        </w:rPr>
      </w:pPr>
      <w:r w:rsidRPr="008F6D53">
        <w:rPr>
          <w:rFonts w:ascii="Cambria" w:hAnsi="Cambria"/>
          <w:i/>
          <w:iCs/>
          <w:color w:val="000000" w:themeColor="text1"/>
        </w:rPr>
        <w:t>(3) An ADI must pay the money deducted under subsection (2) to the Director within 2 days after being served with the redirection of money owing order.</w:t>
      </w:r>
    </w:p>
    <w:p w14:paraId="602CF561" w14:textId="77777777" w:rsidR="00FC79AA" w:rsidRPr="008F6D53" w:rsidRDefault="00FC79AA" w:rsidP="00B358FB">
      <w:pPr>
        <w:ind w:left="720"/>
        <w:rPr>
          <w:rFonts w:ascii="Cambria" w:hAnsi="Cambria"/>
          <w:i/>
          <w:iCs/>
          <w:color w:val="000000" w:themeColor="text1"/>
        </w:rPr>
      </w:pPr>
      <w:r w:rsidRPr="008F6D53">
        <w:rPr>
          <w:rFonts w:ascii="Cambria" w:hAnsi="Cambria"/>
          <w:i/>
          <w:iCs/>
          <w:color w:val="000000" w:themeColor="text1"/>
        </w:rPr>
        <w:t>Penalty: Fine not exceeding 20 penalty units.</w:t>
      </w:r>
    </w:p>
    <w:p w14:paraId="37CE61C1" w14:textId="77777777" w:rsidR="00FC79AA" w:rsidRPr="008F6D53" w:rsidRDefault="00FC79AA" w:rsidP="00B358FB">
      <w:pPr>
        <w:ind w:left="720"/>
        <w:rPr>
          <w:rFonts w:ascii="Cambria" w:hAnsi="Cambria"/>
          <w:i/>
          <w:iCs/>
          <w:color w:val="000000" w:themeColor="text1"/>
        </w:rPr>
      </w:pPr>
      <w:r w:rsidRPr="008F6D53">
        <w:rPr>
          <w:rFonts w:ascii="Cambria" w:hAnsi="Cambria"/>
          <w:i/>
          <w:iCs/>
          <w:color w:val="000000" w:themeColor="text1"/>
        </w:rPr>
        <w:t>(4) Unless required under a redirection of money owing order to deduct an amount from a particular account held by the enforcement debtor with the ADI –</w:t>
      </w:r>
    </w:p>
    <w:p w14:paraId="038908F3" w14:textId="77777777" w:rsidR="00FC79AA" w:rsidRPr="008F6D53" w:rsidRDefault="00FC79AA" w:rsidP="00B358FB">
      <w:pPr>
        <w:ind w:left="1440"/>
        <w:rPr>
          <w:rFonts w:ascii="Cambria" w:hAnsi="Cambria"/>
          <w:i/>
          <w:iCs/>
          <w:color w:val="000000" w:themeColor="text1"/>
        </w:rPr>
      </w:pPr>
      <w:r w:rsidRPr="008F6D53">
        <w:rPr>
          <w:rFonts w:ascii="Cambria" w:hAnsi="Cambria"/>
          <w:i/>
          <w:iCs/>
          <w:color w:val="000000" w:themeColor="text1"/>
        </w:rPr>
        <w:t>(a) the ADI may choose the account from which to deduct the amount; and</w:t>
      </w:r>
    </w:p>
    <w:p w14:paraId="3B2911F8" w14:textId="77777777" w:rsidR="00FC79AA" w:rsidRPr="008F6D53" w:rsidRDefault="00FC79AA" w:rsidP="00B358FB">
      <w:pPr>
        <w:ind w:left="1440"/>
        <w:rPr>
          <w:rFonts w:ascii="Cambria" w:hAnsi="Cambria"/>
          <w:i/>
          <w:iCs/>
          <w:color w:val="000000" w:themeColor="text1"/>
        </w:rPr>
      </w:pPr>
      <w:r w:rsidRPr="008F6D53">
        <w:rPr>
          <w:rFonts w:ascii="Cambria" w:hAnsi="Cambria"/>
          <w:i/>
          <w:iCs/>
          <w:color w:val="000000" w:themeColor="text1"/>
        </w:rPr>
        <w:t>(b) the ADI may deduct the amount by deducting lesser amounts from 2 or more accounts held by the enforcement debtor.</w:t>
      </w:r>
    </w:p>
    <w:p w14:paraId="3E557A8F" w14:textId="77777777" w:rsidR="00B358FB" w:rsidRPr="008F6D53" w:rsidRDefault="00B358FB" w:rsidP="00FC79AA">
      <w:pPr>
        <w:rPr>
          <w:rFonts w:ascii="Cambria" w:hAnsi="Cambria"/>
          <w:color w:val="EE0000"/>
        </w:rPr>
      </w:pPr>
    </w:p>
    <w:p w14:paraId="78F92D13" w14:textId="288345D7" w:rsidR="00B358FB" w:rsidRPr="008F6D53" w:rsidRDefault="00B358FB" w:rsidP="00B358FB">
      <w:pPr>
        <w:jc w:val="both"/>
        <w:rPr>
          <w:rFonts w:ascii="Cambria" w:hAnsi="Cambria"/>
          <w:color w:val="000000" w:themeColor="text1"/>
        </w:rPr>
      </w:pPr>
      <w:r w:rsidRPr="008F6D53">
        <w:rPr>
          <w:rFonts w:ascii="Cambria" w:hAnsi="Cambria"/>
          <w:color w:val="000000" w:themeColor="text1"/>
        </w:rPr>
        <w:t xml:space="preserve">Anecdotally, our lawyers have had cases in which clients have sought the repayment of debts by issuing a garnishee order against the debtor’s bank account/s. Repayment of the debt has been refused by the bank on the basis that the exact amount of money required to pay the debt in full is unavailable. We recommend that flexibility be included in clause 99B so that the bank can make multiple deductions of the same bank account/s over a longer </w:t>
      </w:r>
      <w:r w:rsidR="008F6D53" w:rsidRPr="008F6D53">
        <w:rPr>
          <w:rFonts w:ascii="Cambria" w:hAnsi="Cambria"/>
          <w:color w:val="000000" w:themeColor="text1"/>
        </w:rPr>
        <w:t>period</w:t>
      </w:r>
      <w:r w:rsidRPr="008F6D53">
        <w:rPr>
          <w:rFonts w:ascii="Cambria" w:hAnsi="Cambria"/>
          <w:color w:val="000000" w:themeColor="text1"/>
        </w:rPr>
        <w:t xml:space="preserve"> until the debt is repaid in full. Whilst not exactly on point, section 102 of</w:t>
      </w:r>
      <w:r w:rsidR="008F6D53">
        <w:rPr>
          <w:rFonts w:ascii="Cambria" w:hAnsi="Cambria"/>
          <w:color w:val="000000" w:themeColor="text1"/>
        </w:rPr>
        <w:t xml:space="preserve"> Queensland’s</w:t>
      </w:r>
      <w:r w:rsidRPr="008F6D53">
        <w:rPr>
          <w:rFonts w:ascii="Cambria" w:hAnsi="Cambria"/>
          <w:color w:val="000000" w:themeColor="text1"/>
        </w:rPr>
        <w:t xml:space="preserve"> </w:t>
      </w:r>
      <w:r w:rsidRPr="008F6D53">
        <w:rPr>
          <w:rFonts w:ascii="Cambria" w:hAnsi="Cambria"/>
          <w:i/>
          <w:iCs/>
          <w:color w:val="000000" w:themeColor="text1"/>
        </w:rPr>
        <w:t>State Penalties Enforcement Act 2019</w:t>
      </w:r>
      <w:r w:rsidRPr="008F6D53">
        <w:rPr>
          <w:rFonts w:ascii="Cambria" w:hAnsi="Cambria"/>
          <w:color w:val="000000" w:themeColor="text1"/>
        </w:rPr>
        <w:t xml:space="preserve"> provides</w:t>
      </w:r>
      <w:r w:rsidR="008F6D53">
        <w:rPr>
          <w:rFonts w:ascii="Cambria" w:hAnsi="Cambria"/>
          <w:color w:val="000000" w:themeColor="text1"/>
        </w:rPr>
        <w:t xml:space="preserve"> guidance</w:t>
      </w:r>
      <w:r w:rsidRPr="008F6D53">
        <w:rPr>
          <w:rFonts w:ascii="Cambria" w:hAnsi="Cambria"/>
          <w:color w:val="000000" w:themeColor="text1"/>
        </w:rPr>
        <w:t>:</w:t>
      </w:r>
    </w:p>
    <w:p w14:paraId="4CD23F68" w14:textId="77777777" w:rsidR="00B358FB" w:rsidRPr="008F6D53" w:rsidRDefault="00B358FB" w:rsidP="00B358FB">
      <w:pPr>
        <w:jc w:val="both"/>
        <w:rPr>
          <w:rFonts w:ascii="Cambria" w:hAnsi="Cambria"/>
          <w:color w:val="000000" w:themeColor="text1"/>
        </w:rPr>
      </w:pPr>
    </w:p>
    <w:p w14:paraId="0F77FB4E" w14:textId="24239FDE" w:rsidR="00B358FB" w:rsidRPr="008F6D53" w:rsidRDefault="00B358FB" w:rsidP="00B358FB">
      <w:pPr>
        <w:ind w:left="720"/>
        <w:rPr>
          <w:rFonts w:ascii="Cambria" w:hAnsi="Cambria"/>
          <w:i/>
          <w:iCs/>
          <w:color w:val="000000" w:themeColor="text1"/>
        </w:rPr>
      </w:pPr>
      <w:r w:rsidRPr="008F6D53">
        <w:rPr>
          <w:rFonts w:ascii="Cambria" w:hAnsi="Cambria"/>
          <w:i/>
          <w:iCs/>
        </w:rPr>
        <w:t>If the financial institution is prevented… from deducting from the account the full amount of the recoverable amount, it must deduct as much of the amount, if any, that it may deduct...</w:t>
      </w:r>
      <w:r w:rsidRPr="008F6D53">
        <w:rPr>
          <w:rFonts w:ascii="Cambria" w:hAnsi="Cambria"/>
          <w:i/>
          <w:iCs/>
          <w:color w:val="000000" w:themeColor="text1"/>
        </w:rPr>
        <w:t xml:space="preserve">     </w:t>
      </w:r>
    </w:p>
    <w:p w14:paraId="132F7E49" w14:textId="77777777" w:rsidR="00B358FB" w:rsidRPr="008F6D53" w:rsidRDefault="00B358FB" w:rsidP="00B358FB">
      <w:pPr>
        <w:jc w:val="both"/>
        <w:rPr>
          <w:rFonts w:ascii="Cambria" w:hAnsi="Cambria"/>
          <w:color w:val="EE0000"/>
        </w:rPr>
      </w:pPr>
    </w:p>
    <w:p w14:paraId="49EC4181" w14:textId="0303AA65" w:rsidR="00B358FB" w:rsidRPr="008F6D53" w:rsidRDefault="00B358FB" w:rsidP="00B358FB">
      <w:pPr>
        <w:jc w:val="both"/>
        <w:rPr>
          <w:rFonts w:ascii="Cambria" w:hAnsi="Cambria"/>
          <w:color w:val="000000" w:themeColor="text1"/>
        </w:rPr>
      </w:pPr>
      <w:r w:rsidRPr="008F6D53">
        <w:rPr>
          <w:rFonts w:ascii="Cambria" w:hAnsi="Cambria"/>
          <w:color w:val="000000" w:themeColor="text1"/>
        </w:rPr>
        <w:t xml:space="preserve">Expanding on the Queensland model, thought should be given to a requirement that the bank be provided with the ability to continue to redirect funds from the debtor’s account until such time as the debt is paid in full. </w:t>
      </w:r>
    </w:p>
    <w:p w14:paraId="0C9C4BCC" w14:textId="77777777" w:rsidR="00B358FB" w:rsidRPr="008F6D53" w:rsidRDefault="00B358FB" w:rsidP="00FC79AA">
      <w:pPr>
        <w:rPr>
          <w:rFonts w:ascii="Cambria" w:hAnsi="Cambria"/>
          <w:color w:val="000000" w:themeColor="text1"/>
        </w:rPr>
      </w:pPr>
    </w:p>
    <w:p w14:paraId="562F205E" w14:textId="77777777" w:rsidR="00B358FB" w:rsidRPr="008F6D53" w:rsidRDefault="00B358FB" w:rsidP="00B358FB">
      <w:pPr>
        <w:pStyle w:val="NoSpacing"/>
        <w:jc w:val="both"/>
        <w:rPr>
          <w:rFonts w:ascii="Cambria" w:hAnsi="Cambria"/>
          <w:b/>
          <w:bCs/>
          <w:sz w:val="24"/>
          <w:szCs w:val="24"/>
        </w:rPr>
      </w:pPr>
      <w:r w:rsidRPr="008F6D53">
        <w:rPr>
          <w:rFonts w:ascii="Cambria" w:hAnsi="Cambria"/>
          <w:b/>
          <w:bCs/>
          <w:sz w:val="24"/>
          <w:szCs w:val="24"/>
        </w:rPr>
        <w:t xml:space="preserve">The unfairness of Tasmania’s fining system </w:t>
      </w:r>
    </w:p>
    <w:p w14:paraId="03660539" w14:textId="09973C10" w:rsidR="00B358FB" w:rsidRPr="008F6D53" w:rsidRDefault="00B358FB" w:rsidP="00B358FB">
      <w:pPr>
        <w:pStyle w:val="NoSpacing"/>
        <w:jc w:val="both"/>
        <w:rPr>
          <w:rFonts w:ascii="Cambria" w:hAnsi="Cambria" w:cs="Arial"/>
          <w:sz w:val="24"/>
          <w:szCs w:val="24"/>
        </w:rPr>
      </w:pPr>
      <w:r w:rsidRPr="008F6D53">
        <w:rPr>
          <w:rFonts w:ascii="Cambria" w:hAnsi="Cambria"/>
          <w:bCs/>
          <w:sz w:val="24"/>
          <w:szCs w:val="24"/>
        </w:rPr>
        <w:t xml:space="preserve">We also take this opportunity to repeat our long-held position that the </w:t>
      </w:r>
      <w:r w:rsidRPr="008F6D53">
        <w:rPr>
          <w:rFonts w:ascii="Cambria" w:hAnsi="Cambria" w:cs="Arial"/>
          <w:sz w:val="24"/>
          <w:szCs w:val="24"/>
        </w:rPr>
        <w:t xml:space="preserve">imposition of fines in Tasmanian courts often results in both inequality and unfairness. This is the outcome of laws requiring courts to impose a fine that is either a fixed-sum or mandates a minimum amount (such as for drink-driving offences) with no discretion available to reduce the amount of the fine. </w:t>
      </w:r>
      <w:r w:rsidR="008F6D53">
        <w:rPr>
          <w:rFonts w:ascii="Cambria" w:hAnsi="Cambria" w:cs="Arial"/>
          <w:sz w:val="24"/>
          <w:szCs w:val="24"/>
        </w:rPr>
        <w:t>Almost two</w:t>
      </w:r>
      <w:r w:rsidRPr="008F6D53">
        <w:rPr>
          <w:rFonts w:ascii="Cambria" w:hAnsi="Cambria" w:cs="Arial"/>
          <w:sz w:val="24"/>
          <w:szCs w:val="24"/>
        </w:rPr>
        <w:t xml:space="preserve"> decade</w:t>
      </w:r>
      <w:r w:rsidR="008F6D53">
        <w:rPr>
          <w:rFonts w:ascii="Cambria" w:hAnsi="Cambria" w:cs="Arial"/>
          <w:sz w:val="24"/>
          <w:szCs w:val="24"/>
        </w:rPr>
        <w:t>s</w:t>
      </w:r>
      <w:r w:rsidRPr="008F6D53">
        <w:rPr>
          <w:rFonts w:ascii="Cambria" w:hAnsi="Cambria" w:cs="Arial"/>
          <w:sz w:val="24"/>
          <w:szCs w:val="24"/>
        </w:rPr>
        <w:t xml:space="preserve"> ago, the then Chief Justice of Tasmania concluded that in such circumstances, the fine is ‘draconian’ whilst a significant number </w:t>
      </w:r>
      <w:r w:rsidRPr="008F6D53">
        <w:rPr>
          <w:rFonts w:ascii="Cambria" w:hAnsi="Cambria" w:cs="Arial"/>
          <w:sz w:val="24"/>
          <w:szCs w:val="24"/>
        </w:rPr>
        <w:lastRenderedPageBreak/>
        <w:t>of New South Wales Supreme Court judges have similarly found that the imposition of fines could be ‘disproportionately severe’.</w:t>
      </w:r>
      <w:r w:rsidRPr="008F6D53">
        <w:rPr>
          <w:rStyle w:val="FootnoteReference"/>
          <w:rFonts w:ascii="Cambria" w:hAnsi="Cambria" w:cs="Arial"/>
          <w:sz w:val="24"/>
          <w:szCs w:val="24"/>
        </w:rPr>
        <w:footnoteReference w:id="13"/>
      </w:r>
    </w:p>
    <w:p w14:paraId="4ECD86A3" w14:textId="77777777" w:rsidR="00B358FB" w:rsidRPr="008F6D53" w:rsidRDefault="00B358FB" w:rsidP="00B358FB">
      <w:pPr>
        <w:pStyle w:val="NoSpacing"/>
        <w:jc w:val="both"/>
        <w:rPr>
          <w:rFonts w:ascii="Cambria" w:hAnsi="Cambria" w:cs="Arial"/>
          <w:sz w:val="24"/>
          <w:szCs w:val="24"/>
        </w:rPr>
      </w:pPr>
    </w:p>
    <w:p w14:paraId="332A4C4A" w14:textId="1575AB81" w:rsidR="00B358FB" w:rsidRPr="008F6D53" w:rsidRDefault="00B358FB" w:rsidP="00B358FB">
      <w:pPr>
        <w:pStyle w:val="NoSpacing"/>
        <w:jc w:val="both"/>
        <w:rPr>
          <w:rFonts w:ascii="Cambria" w:hAnsi="Cambria" w:cs="Arial"/>
          <w:sz w:val="24"/>
          <w:szCs w:val="24"/>
        </w:rPr>
      </w:pPr>
      <w:r w:rsidRPr="008F6D53">
        <w:rPr>
          <w:rFonts w:ascii="Cambria" w:hAnsi="Cambria" w:cs="Arial"/>
          <w:sz w:val="24"/>
          <w:szCs w:val="24"/>
        </w:rPr>
        <w:t>In other cases, where the court is granted discretion, the courts have adopted a ‘going rate’ fine for particular offences with courts able to make some adjustment downwards if the offender is unable to pay, but where no scope exists to increase a fine on the grounds of the affluence of the offender.</w:t>
      </w:r>
      <w:r w:rsidRPr="008F6D53">
        <w:rPr>
          <w:rStyle w:val="FootnoteReference"/>
          <w:rFonts w:ascii="Cambria" w:hAnsi="Cambria" w:cs="Arial"/>
          <w:sz w:val="24"/>
          <w:szCs w:val="24"/>
        </w:rPr>
        <w:footnoteReference w:id="14"/>
      </w:r>
      <w:r w:rsidRPr="008F6D53">
        <w:rPr>
          <w:rFonts w:ascii="Cambria" w:hAnsi="Cambria" w:cs="Arial"/>
          <w:sz w:val="24"/>
          <w:szCs w:val="24"/>
        </w:rPr>
        <w:t xml:space="preserve"> The failure to ensure that the fine has a similar punitive bite means that the sentencing principle of equal impact is not met. When two offenders pay the same fine but one has a higher income the fine cannot have the same effect. For wealthy offenders the fine may be too easily paid and hence no real punishment or even seen as a ‘licence fee’ to continue offending. </w:t>
      </w:r>
    </w:p>
    <w:p w14:paraId="78BD8B08" w14:textId="77777777" w:rsidR="00B358FB" w:rsidRPr="008F6D53" w:rsidRDefault="00B358FB" w:rsidP="00B358FB">
      <w:pPr>
        <w:pStyle w:val="NoSpacing"/>
        <w:jc w:val="both"/>
        <w:rPr>
          <w:rFonts w:ascii="Cambria" w:hAnsi="Cambria" w:cs="Arial"/>
          <w:sz w:val="24"/>
          <w:szCs w:val="24"/>
        </w:rPr>
      </w:pPr>
    </w:p>
    <w:p w14:paraId="1A8BB9CB" w14:textId="77777777" w:rsidR="00B358FB" w:rsidRPr="008F6D53" w:rsidRDefault="00B358FB" w:rsidP="00B358FB">
      <w:pPr>
        <w:pStyle w:val="NoSpacing"/>
        <w:jc w:val="both"/>
        <w:rPr>
          <w:rFonts w:ascii="Cambria" w:hAnsi="Cambria"/>
          <w:bCs/>
          <w:sz w:val="24"/>
          <w:szCs w:val="24"/>
        </w:rPr>
      </w:pPr>
      <w:r w:rsidRPr="008F6D53">
        <w:rPr>
          <w:rFonts w:ascii="Cambria" w:hAnsi="Cambria" w:cs="Arial"/>
          <w:sz w:val="24"/>
          <w:szCs w:val="24"/>
        </w:rPr>
        <w:t xml:space="preserve">Whilst outside the scope of this Bill, we strongly recommend that the Tasmanian Government consider reviewing the way in which fines are imposed. In our opinion, the introduction of fines proportionate to the offender’s income will lead to fairer outcomes and increased community support in the sentencing system.  </w:t>
      </w:r>
    </w:p>
    <w:p w14:paraId="4A0163FA" w14:textId="5740313C" w:rsidR="00B358FB" w:rsidRPr="008F6D53" w:rsidRDefault="00B358FB" w:rsidP="00B358FB">
      <w:pPr>
        <w:pStyle w:val="NoSpacing"/>
        <w:jc w:val="both"/>
        <w:rPr>
          <w:rFonts w:ascii="Cambria" w:hAnsi="Cambria"/>
          <w:bCs/>
          <w:sz w:val="24"/>
          <w:szCs w:val="24"/>
        </w:rPr>
      </w:pPr>
      <w:r w:rsidRPr="008F6D53">
        <w:rPr>
          <w:rFonts w:ascii="Cambria" w:hAnsi="Cambria"/>
          <w:bCs/>
          <w:sz w:val="24"/>
          <w:szCs w:val="24"/>
        </w:rPr>
        <w:t xml:space="preserve"> </w:t>
      </w:r>
    </w:p>
    <w:p w14:paraId="4DD2224B" w14:textId="01383FF0" w:rsidR="00B358FB" w:rsidRPr="008F6D53" w:rsidRDefault="00B358FB" w:rsidP="00B358FB">
      <w:pPr>
        <w:pStyle w:val="NoSpacing"/>
        <w:jc w:val="both"/>
        <w:rPr>
          <w:rFonts w:ascii="Cambria" w:hAnsi="Cambria"/>
          <w:bCs/>
          <w:sz w:val="24"/>
          <w:szCs w:val="24"/>
        </w:rPr>
      </w:pPr>
      <w:r w:rsidRPr="008F6D53">
        <w:rPr>
          <w:rFonts w:ascii="Cambria" w:hAnsi="Cambria"/>
          <w:sz w:val="24"/>
          <w:szCs w:val="24"/>
        </w:rPr>
        <w:t>If we can be of any further assistance, please do not hesitate to contact us.</w:t>
      </w:r>
    </w:p>
    <w:p w14:paraId="117A6972" w14:textId="77777777" w:rsidR="00B358FB" w:rsidRPr="008F6D53" w:rsidRDefault="00B358FB" w:rsidP="00B358FB">
      <w:pPr>
        <w:pStyle w:val="NoSpacing"/>
        <w:jc w:val="both"/>
        <w:rPr>
          <w:rFonts w:ascii="Cambria" w:hAnsi="Cambria"/>
          <w:sz w:val="24"/>
          <w:szCs w:val="24"/>
        </w:rPr>
      </w:pPr>
    </w:p>
    <w:p w14:paraId="202BF7DC" w14:textId="77777777" w:rsidR="00B358FB" w:rsidRPr="008F6D53" w:rsidRDefault="00B358FB" w:rsidP="00B358FB">
      <w:pPr>
        <w:pStyle w:val="NoSpacing"/>
        <w:jc w:val="both"/>
        <w:rPr>
          <w:rFonts w:ascii="Cambria" w:hAnsi="Cambria"/>
          <w:sz w:val="24"/>
          <w:szCs w:val="24"/>
        </w:rPr>
      </w:pPr>
    </w:p>
    <w:p w14:paraId="42A4AC59" w14:textId="05DFA73F" w:rsidR="00B358FB" w:rsidRPr="008F6D53" w:rsidRDefault="00B358FB" w:rsidP="00B358FB">
      <w:pPr>
        <w:pStyle w:val="NoSpacing"/>
        <w:jc w:val="both"/>
        <w:rPr>
          <w:rFonts w:ascii="Cambria" w:hAnsi="Cambria"/>
          <w:sz w:val="24"/>
          <w:szCs w:val="24"/>
        </w:rPr>
      </w:pPr>
      <w:r w:rsidRPr="008F6D53">
        <w:rPr>
          <w:rFonts w:ascii="Cambria" w:hAnsi="Cambria"/>
          <w:sz w:val="24"/>
          <w:szCs w:val="24"/>
        </w:rPr>
        <w:t xml:space="preserve">Yours faithfully, </w:t>
      </w:r>
    </w:p>
    <w:p w14:paraId="10F825EB" w14:textId="30F71518" w:rsidR="00B358FB" w:rsidRDefault="00B358FB" w:rsidP="00B358FB">
      <w:pPr>
        <w:pStyle w:val="NoSpacing"/>
        <w:jc w:val="both"/>
        <w:rPr>
          <w:rFonts w:ascii="Cambria" w:hAnsi="Cambria"/>
          <w:sz w:val="24"/>
          <w:szCs w:val="24"/>
        </w:rPr>
      </w:pPr>
    </w:p>
    <w:p w14:paraId="2E1EE44A" w14:textId="77777777" w:rsidR="00162319" w:rsidRDefault="00162319" w:rsidP="00B358FB">
      <w:pPr>
        <w:pStyle w:val="NoSpacing"/>
        <w:jc w:val="both"/>
        <w:rPr>
          <w:rFonts w:ascii="Cambria" w:hAnsi="Cambria"/>
          <w:sz w:val="24"/>
          <w:szCs w:val="24"/>
        </w:rPr>
      </w:pPr>
    </w:p>
    <w:p w14:paraId="2223F3E2" w14:textId="77777777" w:rsidR="00162319" w:rsidRPr="008F6D53" w:rsidRDefault="00162319" w:rsidP="00B358FB">
      <w:pPr>
        <w:pStyle w:val="NoSpacing"/>
        <w:jc w:val="both"/>
        <w:rPr>
          <w:rFonts w:ascii="Cambria" w:hAnsi="Cambria"/>
          <w:sz w:val="24"/>
          <w:szCs w:val="24"/>
        </w:rPr>
      </w:pPr>
    </w:p>
    <w:p w14:paraId="1AD363A4" w14:textId="77777777" w:rsidR="00B358FB" w:rsidRPr="008F6D53" w:rsidRDefault="00B358FB" w:rsidP="00B358FB">
      <w:pPr>
        <w:pStyle w:val="NoSpacing"/>
        <w:jc w:val="both"/>
        <w:rPr>
          <w:rFonts w:ascii="Cambria" w:hAnsi="Cambria"/>
          <w:sz w:val="24"/>
          <w:szCs w:val="24"/>
        </w:rPr>
      </w:pPr>
      <w:r w:rsidRPr="008F6D53">
        <w:rPr>
          <w:rFonts w:ascii="Cambria" w:hAnsi="Cambria"/>
          <w:sz w:val="24"/>
          <w:szCs w:val="24"/>
        </w:rPr>
        <w:t>Benedict Bartl</w:t>
      </w:r>
    </w:p>
    <w:p w14:paraId="3AA2580E" w14:textId="77777777" w:rsidR="00B358FB" w:rsidRPr="008F6D53" w:rsidRDefault="00B358FB" w:rsidP="00B358FB">
      <w:pPr>
        <w:pStyle w:val="NoSpacing"/>
        <w:jc w:val="both"/>
        <w:rPr>
          <w:rFonts w:ascii="Cambria" w:hAnsi="Cambria"/>
          <w:sz w:val="24"/>
          <w:szCs w:val="24"/>
        </w:rPr>
      </w:pPr>
      <w:r w:rsidRPr="008F6D53">
        <w:rPr>
          <w:rFonts w:ascii="Cambria" w:hAnsi="Cambria"/>
          <w:sz w:val="24"/>
          <w:szCs w:val="24"/>
        </w:rPr>
        <w:t>Policy Officer</w:t>
      </w:r>
    </w:p>
    <w:p w14:paraId="0118E3E3" w14:textId="77777777" w:rsidR="00B358FB" w:rsidRPr="008F6D53" w:rsidRDefault="00B358FB" w:rsidP="00B358FB">
      <w:pPr>
        <w:pStyle w:val="NoSpacing"/>
        <w:jc w:val="both"/>
        <w:rPr>
          <w:rFonts w:ascii="Cambria" w:hAnsi="Cambria"/>
          <w:b/>
          <w:bCs/>
          <w:sz w:val="24"/>
          <w:szCs w:val="24"/>
        </w:rPr>
      </w:pPr>
      <w:r w:rsidRPr="008F6D53">
        <w:rPr>
          <w:rFonts w:ascii="Cambria" w:hAnsi="Cambria"/>
          <w:b/>
          <w:bCs/>
          <w:noProof/>
          <w:sz w:val="24"/>
          <w:szCs w:val="24"/>
        </w:rPr>
        <mc:AlternateContent>
          <mc:Choice Requires="wps">
            <w:drawing>
              <wp:anchor distT="0" distB="0" distL="114300" distR="114300" simplePos="0" relativeHeight="251661312" behindDoc="0" locked="0" layoutInCell="1" allowOverlap="1" wp14:anchorId="2AFB9CA7" wp14:editId="11B58265">
                <wp:simplePos x="0" y="0"/>
                <wp:positionH relativeFrom="column">
                  <wp:posOffset>0</wp:posOffset>
                </wp:positionH>
                <wp:positionV relativeFrom="paragraph">
                  <wp:posOffset>189865</wp:posOffset>
                </wp:positionV>
                <wp:extent cx="6050280" cy="15240"/>
                <wp:effectExtent l="0" t="0" r="26670" b="22860"/>
                <wp:wrapNone/>
                <wp:docPr id="2" name="Straight Connector 2"/>
                <wp:cNvGraphicFramePr/>
                <a:graphic xmlns:a="http://schemas.openxmlformats.org/drawingml/2006/main">
                  <a:graphicData uri="http://schemas.microsoft.com/office/word/2010/wordprocessingShape">
                    <wps:wsp>
                      <wps:cNvCnPr/>
                      <wps:spPr>
                        <a:xfrm>
                          <a:off x="0" y="0"/>
                          <a:ext cx="60502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8880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95pt" to="476.4pt,1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" strokecolor="black [3200]" strokeweight=".5pt">
                <v:stroke joinstyle="miter"/>
              </v:line>
            </w:pict>
          </mc:Fallback>
        </mc:AlternateContent>
      </w:r>
      <w:r w:rsidRPr="008F6D53">
        <w:rPr>
          <w:rFonts w:ascii="Cambria" w:hAnsi="Cambria"/>
          <w:b/>
          <w:bCs/>
          <w:sz w:val="24"/>
          <w:szCs w:val="24"/>
        </w:rPr>
        <w:t>Community Legal Centres Tasmania</w:t>
      </w:r>
      <w:r w:rsidRPr="008F6D53">
        <w:rPr>
          <w:rFonts w:ascii="Cambria" w:hAnsi="Cambria"/>
          <w:sz w:val="24"/>
          <w:szCs w:val="24"/>
        </w:rPr>
        <w:t xml:space="preserve"> </w:t>
      </w:r>
    </w:p>
    <w:p w14:paraId="32EB23ED" w14:textId="77777777" w:rsidR="00B358FB" w:rsidRPr="008F6D53" w:rsidRDefault="00B358FB" w:rsidP="00B358FB">
      <w:pPr>
        <w:rPr>
          <w:rFonts w:ascii="Cambria" w:hAnsi="Cambria"/>
        </w:rPr>
      </w:pPr>
    </w:p>
    <w:sectPr w:rsidR="00B358FB" w:rsidRPr="008F6D53" w:rsidSect="00215FCE">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C0C5" w14:textId="77777777" w:rsidR="00EC17FD" w:rsidRDefault="00EC17FD" w:rsidP="001A636C">
      <w:r>
        <w:separator/>
      </w:r>
    </w:p>
  </w:endnote>
  <w:endnote w:type="continuationSeparator" w:id="0">
    <w:p w14:paraId="4D946A15" w14:textId="77777777" w:rsidR="00EC17FD" w:rsidRDefault="00EC17FD" w:rsidP="001A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9136148"/>
      <w:docPartObj>
        <w:docPartGallery w:val="Page Numbers (Bottom of Page)"/>
        <w:docPartUnique/>
      </w:docPartObj>
    </w:sdtPr>
    <w:sdtContent>
      <w:p w14:paraId="2871BA11" w14:textId="35E808D1" w:rsidR="00B358FB" w:rsidRDefault="00B358FB" w:rsidP="00282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CD630" w14:textId="77777777" w:rsidR="00B358FB" w:rsidRDefault="00B358FB" w:rsidP="00B35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822312"/>
      <w:docPartObj>
        <w:docPartGallery w:val="Page Numbers (Bottom of Page)"/>
        <w:docPartUnique/>
      </w:docPartObj>
    </w:sdtPr>
    <w:sdtContent>
      <w:p w14:paraId="457479D7" w14:textId="2D80BDF8" w:rsidR="00B358FB" w:rsidRDefault="00B358FB" w:rsidP="00282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E800D4" w14:textId="77777777" w:rsidR="00B358FB" w:rsidRDefault="00B358FB" w:rsidP="00B35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0A44" w14:textId="77777777" w:rsidR="00EC17FD" w:rsidRDefault="00EC17FD" w:rsidP="001A636C">
      <w:r>
        <w:separator/>
      </w:r>
    </w:p>
  </w:footnote>
  <w:footnote w:type="continuationSeparator" w:id="0">
    <w:p w14:paraId="4DC96A97" w14:textId="77777777" w:rsidR="00EC17FD" w:rsidRDefault="00EC17FD" w:rsidP="001A636C">
      <w:r>
        <w:continuationSeparator/>
      </w:r>
    </w:p>
  </w:footnote>
  <w:footnote w:id="1">
    <w:p w14:paraId="349328E3" w14:textId="77777777" w:rsidR="00DC1DF9" w:rsidRPr="00B358FB" w:rsidRDefault="00DC1DF9" w:rsidP="00DC1DF9">
      <w:pPr>
        <w:pStyle w:val="FootnoteText"/>
        <w:rPr>
          <w:rFonts w:ascii="Cambria" w:hAnsi="Cambria"/>
          <w:color w:val="000000" w:themeColor="text1"/>
        </w:rPr>
      </w:pPr>
      <w:r w:rsidRPr="00B358FB">
        <w:rPr>
          <w:rStyle w:val="FootnoteReference"/>
          <w:rFonts w:ascii="Cambria" w:eastAsiaTheme="majorEastAsia" w:hAnsi="Cambria"/>
          <w:color w:val="000000" w:themeColor="text1"/>
        </w:rPr>
        <w:footnoteRef/>
      </w:r>
      <w:r w:rsidRPr="00B358FB">
        <w:rPr>
          <w:rFonts w:ascii="Cambria" w:hAnsi="Cambria"/>
          <w:color w:val="000000" w:themeColor="text1"/>
        </w:rPr>
        <w:t xml:space="preserve"> CLC Tas would like to acknowledge those persons and organisations who gave freely of their time in assisting with our submission. </w:t>
      </w:r>
    </w:p>
  </w:footnote>
  <w:footnote w:id="2">
    <w:p w14:paraId="264F2518" w14:textId="67F4418C" w:rsidR="0033344F" w:rsidRPr="00B358FB" w:rsidRDefault="0033344F">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The 115 per cent is the result of debts owed in previous years being paid, hence the greater than 100 per cent amount.</w:t>
      </w:r>
    </w:p>
  </w:footnote>
  <w:footnote w:id="3">
    <w:p w14:paraId="783FCF4C" w14:textId="0B2420F1" w:rsidR="0033344F" w:rsidRPr="00B358FB" w:rsidRDefault="0033344F" w:rsidP="0033344F">
      <w:pPr>
        <w:jc w:val="both"/>
        <w:rPr>
          <w:rFonts w:ascii="Cambria" w:hAnsi="Cambria"/>
          <w:sz w:val="20"/>
          <w:szCs w:val="20"/>
        </w:rPr>
      </w:pPr>
      <w:r w:rsidRPr="00B358FB">
        <w:rPr>
          <w:rStyle w:val="FootnoteReference"/>
          <w:rFonts w:ascii="Cambria" w:hAnsi="Cambria"/>
          <w:sz w:val="20"/>
          <w:szCs w:val="20"/>
        </w:rPr>
        <w:footnoteRef/>
      </w:r>
      <w:r w:rsidRPr="00B358FB">
        <w:rPr>
          <w:rFonts w:ascii="Cambria" w:hAnsi="Cambria"/>
          <w:sz w:val="20"/>
          <w:szCs w:val="20"/>
        </w:rPr>
        <w:t xml:space="preserve"> Department of Justice, </w:t>
      </w:r>
      <w:r w:rsidRPr="00B358FB">
        <w:rPr>
          <w:rFonts w:ascii="Cambria" w:hAnsi="Cambria"/>
          <w:i/>
          <w:iCs/>
          <w:sz w:val="20"/>
          <w:szCs w:val="20"/>
        </w:rPr>
        <w:t>Annual Report 2024-25</w:t>
      </w:r>
      <w:r w:rsidRPr="00B358FB">
        <w:rPr>
          <w:rFonts w:ascii="Cambria" w:hAnsi="Cambria"/>
          <w:sz w:val="20"/>
          <w:szCs w:val="20"/>
        </w:rPr>
        <w:t xml:space="preserve"> (September 2025) 48. As found at </w:t>
      </w:r>
    </w:p>
    <w:p w14:paraId="51F08AF0" w14:textId="75D3F24F" w:rsidR="0033344F" w:rsidRPr="00B358FB" w:rsidRDefault="0033344F" w:rsidP="0033344F">
      <w:pPr>
        <w:rPr>
          <w:rFonts w:ascii="Cambria" w:hAnsi="Cambria"/>
          <w:sz w:val="20"/>
          <w:szCs w:val="20"/>
        </w:rPr>
      </w:pPr>
      <w:hyperlink r:id="rId1" w:history="1">
        <w:r w:rsidRPr="00B358FB">
          <w:rPr>
            <w:rStyle w:val="Hyperlink"/>
            <w:rFonts w:ascii="Cambria" w:hAnsi="Cambria"/>
            <w:sz w:val="20"/>
            <w:szCs w:val="20"/>
          </w:rPr>
          <w:t>https://www.justice.tas.gov.au/__data/assets/pdf_file/0007/833425/Department-of-Justice-Annual-Report-2024-25_web-accessible.pdf</w:t>
        </w:r>
      </w:hyperlink>
      <w:r w:rsidRPr="00B358FB">
        <w:rPr>
          <w:rFonts w:ascii="Cambria" w:hAnsi="Cambria"/>
          <w:sz w:val="20"/>
          <w:szCs w:val="20"/>
        </w:rPr>
        <w:t xml:space="preserve"> </w:t>
      </w:r>
    </w:p>
  </w:footnote>
  <w:footnote w:id="4">
    <w:p w14:paraId="0AEFD8D8" w14:textId="77777777" w:rsidR="00B358FB" w:rsidRPr="00B358FB" w:rsidRDefault="00B358FB" w:rsidP="00B358FB">
      <w:pPr>
        <w:jc w:val="both"/>
        <w:rPr>
          <w:rFonts w:ascii="Cambria" w:hAnsi="Cambria"/>
          <w:sz w:val="20"/>
          <w:szCs w:val="20"/>
        </w:rPr>
      </w:pPr>
      <w:r w:rsidRPr="00B358FB">
        <w:rPr>
          <w:rStyle w:val="FootnoteReference"/>
          <w:rFonts w:ascii="Cambria" w:hAnsi="Cambria"/>
          <w:sz w:val="20"/>
          <w:szCs w:val="20"/>
        </w:rPr>
        <w:footnoteRef/>
      </w:r>
      <w:r w:rsidRPr="00B358FB">
        <w:rPr>
          <w:rFonts w:ascii="Cambria" w:hAnsi="Cambria"/>
          <w:sz w:val="20"/>
          <w:szCs w:val="20"/>
        </w:rPr>
        <w:t xml:space="preserve"> See, for example, Adam Holmes, Tasmania’s ‘name and shame’ fines list includes full addresses, but the premier says no more’, </w:t>
      </w:r>
      <w:r w:rsidRPr="00B358FB">
        <w:rPr>
          <w:rFonts w:ascii="Cambria" w:hAnsi="Cambria"/>
          <w:i/>
          <w:iCs/>
          <w:sz w:val="20"/>
          <w:szCs w:val="20"/>
        </w:rPr>
        <w:t>Australian Broadcasting Corporation</w:t>
      </w:r>
      <w:r w:rsidRPr="00B358FB">
        <w:rPr>
          <w:rFonts w:ascii="Cambria" w:hAnsi="Cambria"/>
          <w:sz w:val="20"/>
          <w:szCs w:val="20"/>
        </w:rPr>
        <w:t xml:space="preserve">, 18 June 2023. As found at </w:t>
      </w:r>
      <w:hyperlink r:id="rId2" w:history="1">
        <w:r w:rsidRPr="00B358FB">
          <w:rPr>
            <w:rStyle w:val="Hyperlink"/>
            <w:rFonts w:ascii="Cambria" w:hAnsi="Cambria"/>
            <w:sz w:val="20"/>
            <w:szCs w:val="20"/>
          </w:rPr>
          <w:t>https://www.abc.net.au/news/2023-01-18/tas-name-and-shame-fines-publish-address-tasmania-/101868474</w:t>
        </w:r>
      </w:hyperlink>
    </w:p>
  </w:footnote>
  <w:footnote w:id="5">
    <w:p w14:paraId="52183835" w14:textId="39C75934" w:rsidR="00FC79AA" w:rsidRPr="00B358FB" w:rsidRDefault="00FC79AA">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Section 101B of the </w:t>
      </w:r>
      <w:r w:rsidRPr="00B358FB">
        <w:rPr>
          <w:rFonts w:ascii="Cambria" w:hAnsi="Cambria"/>
          <w:i/>
          <w:iCs/>
        </w:rPr>
        <w:t>Fines Act 1996</w:t>
      </w:r>
      <w:r w:rsidRPr="00B358FB">
        <w:rPr>
          <w:rFonts w:ascii="Cambria" w:hAnsi="Cambria"/>
        </w:rPr>
        <w:t xml:space="preserve"> (NSW). In Queensland, the imposition of </w:t>
      </w:r>
      <w:r w:rsidR="00AC018D" w:rsidRPr="00B358FB">
        <w:rPr>
          <w:rFonts w:ascii="Cambria" w:hAnsi="Cambria"/>
        </w:rPr>
        <w:t>a community service order</w:t>
      </w:r>
      <w:r w:rsidRPr="00B358FB">
        <w:rPr>
          <w:rFonts w:ascii="Cambria" w:hAnsi="Cambria"/>
        </w:rPr>
        <w:t xml:space="preserve"> </w:t>
      </w:r>
      <w:r w:rsidR="00B358FB" w:rsidRPr="00B358FB">
        <w:rPr>
          <w:rFonts w:ascii="Cambria" w:hAnsi="Cambria"/>
        </w:rPr>
        <w:t>can</w:t>
      </w:r>
      <w:r w:rsidRPr="00B358FB">
        <w:rPr>
          <w:rFonts w:ascii="Cambria" w:hAnsi="Cambria"/>
        </w:rPr>
        <w:t xml:space="preserve"> be reviewed: section 32S of the </w:t>
      </w:r>
      <w:r w:rsidRPr="00B358FB">
        <w:rPr>
          <w:rFonts w:ascii="Cambria" w:hAnsi="Cambria"/>
          <w:i/>
          <w:iCs/>
        </w:rPr>
        <w:t>State Penalties Enforcement Act 1999</w:t>
      </w:r>
      <w:r w:rsidRPr="00B358FB">
        <w:rPr>
          <w:rFonts w:ascii="Cambria" w:hAnsi="Cambria"/>
        </w:rPr>
        <w:t xml:space="preserve"> (Qld).  </w:t>
      </w:r>
    </w:p>
  </w:footnote>
  <w:footnote w:id="6">
    <w:p w14:paraId="481EB9C0" w14:textId="243953FB" w:rsidR="00AC018D" w:rsidRPr="00B358FB" w:rsidRDefault="00AC018D">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Sections 31-33 of the </w:t>
      </w:r>
      <w:r w:rsidRPr="00B358FB">
        <w:rPr>
          <w:rFonts w:ascii="Cambria" w:hAnsi="Cambria"/>
          <w:i/>
          <w:iCs/>
        </w:rPr>
        <w:t>Monetary Penalties Enforcement Act 2005</w:t>
      </w:r>
      <w:r w:rsidRPr="00B358FB">
        <w:rPr>
          <w:rFonts w:ascii="Cambria" w:hAnsi="Cambria"/>
        </w:rPr>
        <w:t xml:space="preserve"> (Tas). </w:t>
      </w:r>
    </w:p>
  </w:footnote>
  <w:footnote w:id="7">
    <w:p w14:paraId="4F5860CF" w14:textId="25D5A49A" w:rsidR="00AC018D" w:rsidRPr="00B358FB" w:rsidRDefault="00AC018D">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Section 23B of the </w:t>
      </w:r>
      <w:r w:rsidRPr="00B358FB">
        <w:rPr>
          <w:rFonts w:ascii="Cambria" w:hAnsi="Cambria"/>
          <w:i/>
          <w:iCs/>
        </w:rPr>
        <w:t>Fines Act 1996</w:t>
      </w:r>
      <w:r w:rsidRPr="00B358FB">
        <w:rPr>
          <w:rFonts w:ascii="Cambria" w:hAnsi="Cambria"/>
        </w:rPr>
        <w:t xml:space="preserve"> (NSW). Regulation 23B and Schedule 1 of the </w:t>
      </w:r>
      <w:r w:rsidRPr="00B358FB">
        <w:rPr>
          <w:rFonts w:ascii="Cambria" w:hAnsi="Cambria"/>
          <w:i/>
          <w:iCs/>
        </w:rPr>
        <w:t>Fines Regulations 2025</w:t>
      </w:r>
      <w:r w:rsidRPr="00B358FB">
        <w:rPr>
          <w:rFonts w:ascii="Cambria" w:hAnsi="Cambria"/>
        </w:rPr>
        <w:t xml:space="preserve"> (NSW). </w:t>
      </w:r>
      <w:r w:rsidR="00B358FB" w:rsidRPr="00B358FB">
        <w:rPr>
          <w:rFonts w:ascii="Cambria" w:hAnsi="Cambria"/>
        </w:rPr>
        <w:t xml:space="preserve">In Victoria, see </w:t>
      </w:r>
      <w:r w:rsidRPr="00B358FB">
        <w:rPr>
          <w:rFonts w:ascii="Cambria" w:hAnsi="Cambria"/>
        </w:rPr>
        <w:t xml:space="preserve">Part 2A of the </w:t>
      </w:r>
      <w:r w:rsidRPr="00B358FB">
        <w:rPr>
          <w:rFonts w:ascii="Cambria" w:hAnsi="Cambria"/>
          <w:i/>
          <w:iCs/>
        </w:rPr>
        <w:t>Fines Reforms Act 2014</w:t>
      </w:r>
      <w:r w:rsidRPr="00B358FB">
        <w:rPr>
          <w:rFonts w:ascii="Cambria" w:hAnsi="Cambria"/>
        </w:rPr>
        <w:t xml:space="preserve"> (Vic).</w:t>
      </w:r>
      <w:r w:rsidR="00B358FB" w:rsidRPr="00B358FB">
        <w:rPr>
          <w:rFonts w:ascii="Cambria" w:hAnsi="Cambria"/>
        </w:rPr>
        <w:t xml:space="preserve"> </w:t>
      </w:r>
      <w:r w:rsidRPr="00B358FB">
        <w:rPr>
          <w:rFonts w:ascii="Cambria" w:hAnsi="Cambria"/>
        </w:rPr>
        <w:t xml:space="preserve">Also see NSW Government, ‘Work and Development Order (WDO) </w:t>
      </w:r>
      <w:proofErr w:type="gramStart"/>
      <w:r w:rsidRPr="00B358FB">
        <w:rPr>
          <w:rFonts w:ascii="Cambria" w:hAnsi="Cambria"/>
        </w:rPr>
        <w:t>sponsors’</w:t>
      </w:r>
      <w:proofErr w:type="gramEnd"/>
      <w:r w:rsidRPr="00B358FB">
        <w:rPr>
          <w:rFonts w:ascii="Cambria" w:hAnsi="Cambria"/>
        </w:rPr>
        <w:t xml:space="preserve">. As found at </w:t>
      </w:r>
    </w:p>
    <w:p w14:paraId="6AE4C0E5" w14:textId="5A0CE37A" w:rsidR="00AC018D" w:rsidRPr="00B358FB" w:rsidRDefault="00AC018D">
      <w:pPr>
        <w:pStyle w:val="FootnoteText"/>
        <w:rPr>
          <w:rFonts w:ascii="Cambria" w:hAnsi="Cambria"/>
        </w:rPr>
      </w:pPr>
      <w:hyperlink r:id="rId3" w:history="1">
        <w:r w:rsidRPr="00B358FB">
          <w:rPr>
            <w:rStyle w:val="Hyperlink"/>
            <w:rFonts w:ascii="Cambria" w:hAnsi="Cambria"/>
          </w:rPr>
          <w:t>https://www.nsw.gov.au/money-and-taxes/fines-and-fees/advocates-and-sponsors/work-and-development-order-wdo-sponsors</w:t>
        </w:r>
      </w:hyperlink>
      <w:r w:rsidR="00B358FB" w:rsidRPr="00B358FB">
        <w:rPr>
          <w:rFonts w:ascii="Cambria" w:hAnsi="Cambria"/>
        </w:rPr>
        <w:t>; F</w:t>
      </w:r>
      <w:r w:rsidRPr="00B358FB">
        <w:rPr>
          <w:rFonts w:ascii="Cambria" w:hAnsi="Cambria"/>
        </w:rPr>
        <w:t xml:space="preserve">ines Victoria, ‘Work and Development Permit (WDP)’. As found at </w:t>
      </w:r>
      <w:hyperlink r:id="rId4" w:history="1">
        <w:r w:rsidRPr="00B358FB">
          <w:rPr>
            <w:rStyle w:val="Hyperlink"/>
            <w:rFonts w:ascii="Cambria" w:hAnsi="Cambria"/>
          </w:rPr>
          <w:t>https://online.fines.vic.gov.au/Support/Work-and-Development-Permit</w:t>
        </w:r>
      </w:hyperlink>
      <w:r w:rsidRPr="00B358FB">
        <w:rPr>
          <w:rFonts w:ascii="Cambria" w:hAnsi="Cambria"/>
        </w:rPr>
        <w:t xml:space="preserve"> (accessed 14 April 2026).    </w:t>
      </w:r>
    </w:p>
  </w:footnote>
  <w:footnote w:id="8">
    <w:p w14:paraId="3DE84C58" w14:textId="160FBB04" w:rsidR="00B358FB" w:rsidRPr="00B358FB" w:rsidRDefault="00B358FB">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Department of Justice, ‘About Community Service’. As found at </w:t>
      </w:r>
      <w:hyperlink r:id="rId5" w:history="1">
        <w:r w:rsidRPr="00B358FB">
          <w:rPr>
            <w:rStyle w:val="Hyperlink"/>
            <w:rFonts w:ascii="Cambria" w:hAnsi="Cambria"/>
          </w:rPr>
          <w:t>https://www.justice.tas.gov.au/communitycorrections/orders/community-service/about-community-service-orders</w:t>
        </w:r>
      </w:hyperlink>
      <w:r w:rsidRPr="00B358FB">
        <w:rPr>
          <w:rFonts w:ascii="Cambria" w:hAnsi="Cambria"/>
        </w:rPr>
        <w:t xml:space="preserve"> (accessed 14 April 2026). South Australia is another jurisdiction that provides offenders owing monetary penalties with access to treatment programs including alcohol, drug or gambling treatment programs: section 15(7) of the </w:t>
      </w:r>
      <w:r w:rsidRPr="00B358FB">
        <w:rPr>
          <w:rFonts w:ascii="Cambria" w:hAnsi="Cambria"/>
          <w:i/>
          <w:iCs/>
        </w:rPr>
        <w:t>Fines Enforcement and Debt Recovery Act 2017</w:t>
      </w:r>
      <w:r w:rsidRPr="00B358FB">
        <w:rPr>
          <w:rFonts w:ascii="Cambria" w:hAnsi="Cambria"/>
        </w:rPr>
        <w:t xml:space="preserve"> (SA); regulation 3A of the </w:t>
      </w:r>
      <w:r w:rsidRPr="00B358FB">
        <w:rPr>
          <w:rFonts w:ascii="Cambria" w:hAnsi="Cambria"/>
          <w:i/>
          <w:iCs/>
        </w:rPr>
        <w:t>Fines Enforcement and Debt Recovery Regulations 2018</w:t>
      </w:r>
      <w:r w:rsidRPr="00B358FB">
        <w:rPr>
          <w:rFonts w:ascii="Cambria" w:hAnsi="Cambria"/>
        </w:rPr>
        <w:t xml:space="preserve"> (SA).   </w:t>
      </w:r>
    </w:p>
  </w:footnote>
  <w:footnote w:id="9">
    <w:p w14:paraId="56A3DDCE" w14:textId="5E67EE4A" w:rsidR="00B358FB" w:rsidRPr="00B358FB" w:rsidRDefault="00B358FB">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Section 31 of the </w:t>
      </w:r>
      <w:r w:rsidRPr="00B358FB">
        <w:rPr>
          <w:rFonts w:ascii="Cambria" w:hAnsi="Cambria"/>
          <w:i/>
          <w:iCs/>
        </w:rPr>
        <w:t>Monetary Penalties Enforcement Act 2005</w:t>
      </w:r>
      <w:r w:rsidRPr="00B358FB">
        <w:rPr>
          <w:rFonts w:ascii="Cambria" w:hAnsi="Cambria"/>
        </w:rPr>
        <w:t xml:space="preserve"> (Tas).</w:t>
      </w:r>
    </w:p>
  </w:footnote>
  <w:footnote w:id="10">
    <w:p w14:paraId="74662B90" w14:textId="51C1DEE4" w:rsidR="00B358FB" w:rsidRPr="00B358FB" w:rsidRDefault="00B358FB" w:rsidP="00B358FB">
      <w:pPr>
        <w:jc w:val="both"/>
        <w:rPr>
          <w:rFonts w:ascii="Cambria" w:hAnsi="Cambria"/>
          <w:sz w:val="20"/>
          <w:szCs w:val="20"/>
        </w:rPr>
      </w:pPr>
      <w:r w:rsidRPr="00B358FB">
        <w:rPr>
          <w:rStyle w:val="FootnoteReference"/>
          <w:rFonts w:ascii="Cambria" w:hAnsi="Cambria"/>
          <w:sz w:val="20"/>
          <w:szCs w:val="20"/>
        </w:rPr>
        <w:footnoteRef/>
      </w:r>
      <w:r w:rsidRPr="00B358FB">
        <w:rPr>
          <w:rFonts w:ascii="Cambria" w:hAnsi="Cambria"/>
          <w:sz w:val="20"/>
          <w:szCs w:val="20"/>
        </w:rPr>
        <w:t xml:space="preserve"> Department of Justice, </w:t>
      </w:r>
      <w:r w:rsidRPr="00B358FB">
        <w:rPr>
          <w:rFonts w:ascii="Cambria" w:hAnsi="Cambria"/>
          <w:i/>
          <w:iCs/>
          <w:sz w:val="20"/>
          <w:szCs w:val="20"/>
        </w:rPr>
        <w:t>Annual Report 2024-25</w:t>
      </w:r>
      <w:r w:rsidRPr="00B358FB">
        <w:rPr>
          <w:rFonts w:ascii="Cambria" w:hAnsi="Cambria"/>
          <w:sz w:val="20"/>
          <w:szCs w:val="20"/>
        </w:rPr>
        <w:t xml:space="preserve"> (September 2025) 47. </w:t>
      </w:r>
    </w:p>
  </w:footnote>
  <w:footnote w:id="11">
    <w:p w14:paraId="139CA8D6" w14:textId="6D1D8A35" w:rsidR="00B358FB" w:rsidRPr="00B358FB" w:rsidRDefault="00B358FB">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Ibid.</w:t>
      </w:r>
    </w:p>
  </w:footnote>
  <w:footnote w:id="12">
    <w:p w14:paraId="0A65221A" w14:textId="409BC137" w:rsidR="00B358FB" w:rsidRPr="00B358FB" w:rsidRDefault="00B358FB">
      <w:pPr>
        <w:pStyle w:val="FootnoteText"/>
        <w:rPr>
          <w:rFonts w:ascii="Cambria" w:hAnsi="Cambria"/>
        </w:rPr>
      </w:pPr>
      <w:r w:rsidRPr="00B358FB">
        <w:rPr>
          <w:rStyle w:val="FootnoteReference"/>
          <w:rFonts w:ascii="Cambria" w:hAnsi="Cambria"/>
        </w:rPr>
        <w:footnoteRef/>
      </w:r>
      <w:r w:rsidRPr="00B358FB">
        <w:rPr>
          <w:rFonts w:ascii="Cambria" w:hAnsi="Cambria"/>
        </w:rPr>
        <w:t xml:space="preserve"> Section 10</w:t>
      </w:r>
      <w:proofErr w:type="gramStart"/>
      <w:r w:rsidRPr="00B358FB">
        <w:rPr>
          <w:rFonts w:ascii="Cambria" w:hAnsi="Cambria"/>
        </w:rPr>
        <w:t>AA(</w:t>
      </w:r>
      <w:proofErr w:type="gramEnd"/>
      <w:r w:rsidRPr="00B358FB">
        <w:rPr>
          <w:rFonts w:ascii="Cambria" w:hAnsi="Cambria"/>
        </w:rPr>
        <w:t xml:space="preserve">2) of the </w:t>
      </w:r>
      <w:r w:rsidRPr="00B358FB">
        <w:rPr>
          <w:rFonts w:ascii="Cambria" w:hAnsi="Cambria"/>
          <w:i/>
          <w:iCs/>
        </w:rPr>
        <w:t>Fines Reforms Act 2014</w:t>
      </w:r>
      <w:r w:rsidRPr="00B358FB">
        <w:rPr>
          <w:rFonts w:ascii="Cambria" w:hAnsi="Cambria"/>
        </w:rPr>
        <w:t xml:space="preserve"> (Vic).  </w:t>
      </w:r>
    </w:p>
  </w:footnote>
  <w:footnote w:id="13">
    <w:p w14:paraId="6618E696" w14:textId="77777777" w:rsidR="00B358FB" w:rsidRPr="00B358FB" w:rsidRDefault="00B358FB" w:rsidP="00B358FB">
      <w:pPr>
        <w:ind w:right="-347"/>
        <w:rPr>
          <w:rFonts w:ascii="Cambria" w:hAnsi="Cambria"/>
          <w:sz w:val="20"/>
          <w:szCs w:val="20"/>
        </w:rPr>
      </w:pPr>
      <w:r w:rsidRPr="00B358FB">
        <w:rPr>
          <w:rStyle w:val="FootnoteReference"/>
          <w:rFonts w:ascii="Cambria" w:hAnsi="Cambria"/>
          <w:sz w:val="20"/>
          <w:szCs w:val="20"/>
        </w:rPr>
        <w:footnoteRef/>
      </w:r>
      <w:r w:rsidRPr="00B358FB">
        <w:rPr>
          <w:rFonts w:ascii="Cambria" w:hAnsi="Cambria"/>
          <w:sz w:val="20"/>
          <w:szCs w:val="20"/>
        </w:rPr>
        <w:t xml:space="preserve"> Tasmanian Law Reform Institute, </w:t>
      </w:r>
      <w:r w:rsidRPr="00B358FB">
        <w:rPr>
          <w:rFonts w:ascii="Cambria" w:hAnsi="Cambria"/>
          <w:i/>
          <w:sz w:val="20"/>
          <w:szCs w:val="20"/>
        </w:rPr>
        <w:t>Sentencing – Final Report</w:t>
      </w:r>
      <w:r w:rsidRPr="00B358FB">
        <w:rPr>
          <w:rFonts w:ascii="Cambria" w:hAnsi="Cambria"/>
          <w:sz w:val="20"/>
          <w:szCs w:val="20"/>
        </w:rPr>
        <w:t xml:space="preserve"> No 11 (June 2008) </w:t>
      </w:r>
      <w:proofErr w:type="gramStart"/>
      <w:r w:rsidRPr="00B358FB">
        <w:rPr>
          <w:rFonts w:ascii="Cambria" w:hAnsi="Cambria"/>
          <w:sz w:val="20"/>
          <w:szCs w:val="20"/>
        </w:rPr>
        <w:t>para</w:t>
      </w:r>
      <w:proofErr w:type="gramEnd"/>
      <w:r w:rsidRPr="00B358FB">
        <w:rPr>
          <w:rFonts w:ascii="Cambria" w:hAnsi="Cambria"/>
          <w:sz w:val="20"/>
          <w:szCs w:val="20"/>
        </w:rPr>
        <w:t xml:space="preserve">. 3.9.18. As found at </w:t>
      </w:r>
      <w:hyperlink r:id="rId6" w:history="1">
        <w:r w:rsidRPr="00B358FB">
          <w:rPr>
            <w:rStyle w:val="Hyperlink"/>
            <w:rFonts w:ascii="Cambria" w:hAnsi="Cambria"/>
            <w:sz w:val="20"/>
            <w:szCs w:val="20"/>
          </w:rPr>
          <w:t>http://www.utas.edu.au/__data/assets/pdf_file/0004/283810/completeA4.pdf</w:t>
        </w:r>
      </w:hyperlink>
      <w:r w:rsidRPr="00B358FB">
        <w:rPr>
          <w:rFonts w:ascii="Cambria" w:hAnsi="Cambria"/>
          <w:sz w:val="20"/>
          <w:szCs w:val="20"/>
        </w:rPr>
        <w:t xml:space="preserve"> (accessed 23 September 2020). Also see Katherine McFarlane and Patrizia Poletti, </w:t>
      </w:r>
      <w:r w:rsidRPr="00B358FB">
        <w:rPr>
          <w:rFonts w:ascii="Cambria" w:hAnsi="Cambria"/>
          <w:i/>
          <w:sz w:val="20"/>
          <w:szCs w:val="20"/>
        </w:rPr>
        <w:t xml:space="preserve">Judicial Perceptions of fines as a Sentencing Option: A Survey of NSW Magistrates </w:t>
      </w:r>
      <w:r w:rsidRPr="00B358FB">
        <w:rPr>
          <w:rFonts w:ascii="Cambria" w:hAnsi="Cambria"/>
          <w:sz w:val="20"/>
          <w:szCs w:val="20"/>
        </w:rPr>
        <w:t>(Monograph 1, NSW Sentencing Council, August 2007) at 31 where just under half of the judges surveyed in New South Wales (48 per cent) noted that the fine for socially disadvantaged offenders was disproportionately severe.</w:t>
      </w:r>
    </w:p>
  </w:footnote>
  <w:footnote w:id="14">
    <w:p w14:paraId="6452E7E0" w14:textId="77777777" w:rsidR="00B358FB" w:rsidRPr="00B358FB" w:rsidRDefault="00B358FB" w:rsidP="00B358FB">
      <w:pPr>
        <w:ind w:right="-347"/>
        <w:rPr>
          <w:rFonts w:ascii="Cambria" w:hAnsi="Cambria"/>
          <w:sz w:val="20"/>
          <w:szCs w:val="20"/>
        </w:rPr>
      </w:pPr>
      <w:r w:rsidRPr="00B358FB">
        <w:rPr>
          <w:rStyle w:val="FootnoteReference"/>
          <w:rFonts w:ascii="Cambria" w:hAnsi="Cambria"/>
          <w:sz w:val="20"/>
          <w:szCs w:val="20"/>
        </w:rPr>
        <w:footnoteRef/>
      </w:r>
      <w:r w:rsidRPr="00B358FB">
        <w:rPr>
          <w:rFonts w:ascii="Cambria" w:hAnsi="Cambria"/>
          <w:sz w:val="20"/>
          <w:szCs w:val="20"/>
        </w:rPr>
        <w:t xml:space="preserve"> Andrew Ashworth, Sentencing and Criminal Justice (Cambridge University Press, 2010) 99, 329.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064A"/>
    <w:multiLevelType w:val="hybridMultilevel"/>
    <w:tmpl w:val="03D69128"/>
    <w:lvl w:ilvl="0" w:tplc="B29C857A">
      <w:start w:val="3"/>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B1D1A"/>
    <w:multiLevelType w:val="hybridMultilevel"/>
    <w:tmpl w:val="79948DAA"/>
    <w:lvl w:ilvl="0" w:tplc="67C67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332854">
    <w:abstractNumId w:val="0"/>
  </w:num>
  <w:num w:numId="2" w16cid:durableId="189465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6C"/>
    <w:rsid w:val="00024572"/>
    <w:rsid w:val="00072796"/>
    <w:rsid w:val="0007534F"/>
    <w:rsid w:val="000A482F"/>
    <w:rsid w:val="000E4CF0"/>
    <w:rsid w:val="00105B17"/>
    <w:rsid w:val="001422F0"/>
    <w:rsid w:val="00162319"/>
    <w:rsid w:val="001A3527"/>
    <w:rsid w:val="001A636C"/>
    <w:rsid w:val="001C6EEE"/>
    <w:rsid w:val="00215FCE"/>
    <w:rsid w:val="00224783"/>
    <w:rsid w:val="003005EE"/>
    <w:rsid w:val="003240E6"/>
    <w:rsid w:val="0033344F"/>
    <w:rsid w:val="003720CB"/>
    <w:rsid w:val="003D3B44"/>
    <w:rsid w:val="003F29E7"/>
    <w:rsid w:val="004A2BA0"/>
    <w:rsid w:val="004D7210"/>
    <w:rsid w:val="0053726D"/>
    <w:rsid w:val="005C2A91"/>
    <w:rsid w:val="006F0665"/>
    <w:rsid w:val="00781ABD"/>
    <w:rsid w:val="00781B30"/>
    <w:rsid w:val="007B66AE"/>
    <w:rsid w:val="00835475"/>
    <w:rsid w:val="008447E8"/>
    <w:rsid w:val="008F6D53"/>
    <w:rsid w:val="009738FA"/>
    <w:rsid w:val="00975847"/>
    <w:rsid w:val="0098796A"/>
    <w:rsid w:val="00A36C68"/>
    <w:rsid w:val="00A52CA5"/>
    <w:rsid w:val="00A62506"/>
    <w:rsid w:val="00AC018D"/>
    <w:rsid w:val="00AC5BD7"/>
    <w:rsid w:val="00AD5CD3"/>
    <w:rsid w:val="00B17407"/>
    <w:rsid w:val="00B358FB"/>
    <w:rsid w:val="00C0329E"/>
    <w:rsid w:val="00C06565"/>
    <w:rsid w:val="00C56D13"/>
    <w:rsid w:val="00C774B4"/>
    <w:rsid w:val="00C83509"/>
    <w:rsid w:val="00CC188F"/>
    <w:rsid w:val="00D07E38"/>
    <w:rsid w:val="00D42C85"/>
    <w:rsid w:val="00D8229F"/>
    <w:rsid w:val="00DC1DF9"/>
    <w:rsid w:val="00E7785A"/>
    <w:rsid w:val="00EC17FD"/>
    <w:rsid w:val="00F15041"/>
    <w:rsid w:val="00F973C0"/>
    <w:rsid w:val="00FA2A94"/>
    <w:rsid w:val="00FC79AA"/>
    <w:rsid w:val="00FD6214"/>
    <w:rsid w:val="00FE4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112EB41"/>
  <w15:chartTrackingRefBased/>
  <w15:docId w15:val="{B096402B-F0E5-074C-B8E8-86FAA7CB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6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A636C"/>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A636C"/>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A636C"/>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A636C"/>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A636C"/>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A636C"/>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A636C"/>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A636C"/>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A636C"/>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3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3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3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3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3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36C"/>
    <w:rPr>
      <w:rFonts w:eastAsiaTheme="majorEastAsia" w:cstheme="majorBidi"/>
      <w:color w:val="272727" w:themeColor="text1" w:themeTint="D8"/>
    </w:rPr>
  </w:style>
  <w:style w:type="paragraph" w:styleId="Title">
    <w:name w:val="Title"/>
    <w:basedOn w:val="Normal"/>
    <w:next w:val="Normal"/>
    <w:link w:val="TitleChar"/>
    <w:uiPriority w:val="10"/>
    <w:qFormat/>
    <w:rsid w:val="001A63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A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36C"/>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A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36C"/>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A636C"/>
    <w:rPr>
      <w:i/>
      <w:iCs/>
      <w:color w:val="404040" w:themeColor="text1" w:themeTint="BF"/>
    </w:rPr>
  </w:style>
  <w:style w:type="paragraph" w:styleId="ListParagraph">
    <w:name w:val="List Paragraph"/>
    <w:basedOn w:val="Normal"/>
    <w:uiPriority w:val="34"/>
    <w:qFormat/>
    <w:rsid w:val="001A636C"/>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A636C"/>
    <w:rPr>
      <w:i/>
      <w:iCs/>
      <w:color w:val="2F5496" w:themeColor="accent1" w:themeShade="BF"/>
    </w:rPr>
  </w:style>
  <w:style w:type="paragraph" w:styleId="IntenseQuote">
    <w:name w:val="Intense Quote"/>
    <w:basedOn w:val="Normal"/>
    <w:next w:val="Normal"/>
    <w:link w:val="IntenseQuoteChar"/>
    <w:uiPriority w:val="30"/>
    <w:qFormat/>
    <w:rsid w:val="001A636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A636C"/>
    <w:rPr>
      <w:i/>
      <w:iCs/>
      <w:color w:val="2F5496" w:themeColor="accent1" w:themeShade="BF"/>
    </w:rPr>
  </w:style>
  <w:style w:type="character" w:styleId="IntenseReference">
    <w:name w:val="Intense Reference"/>
    <w:basedOn w:val="DefaultParagraphFont"/>
    <w:uiPriority w:val="32"/>
    <w:qFormat/>
    <w:rsid w:val="001A636C"/>
    <w:rPr>
      <w:b/>
      <w:bCs/>
      <w:smallCaps/>
      <w:color w:val="2F5496" w:themeColor="accent1" w:themeShade="BF"/>
      <w:spacing w:val="5"/>
    </w:rPr>
  </w:style>
  <w:style w:type="character" w:styleId="FootnoteReference">
    <w:name w:val="footnote reference"/>
    <w:aliases w:val="Footnotes refss,Ref,de nota al pie"/>
    <w:basedOn w:val="DefaultParagraphFont"/>
    <w:uiPriority w:val="99"/>
    <w:unhideWhenUsed/>
    <w:qFormat/>
    <w:rsid w:val="001A636C"/>
    <w:rPr>
      <w:vertAlign w:val="superscript"/>
    </w:rPr>
  </w:style>
  <w:style w:type="paragraph" w:styleId="NoSpacing">
    <w:name w:val="No Spacing"/>
    <w:uiPriority w:val="1"/>
    <w:qFormat/>
    <w:rsid w:val="001A636C"/>
    <w:rPr>
      <w:kern w:val="0"/>
      <w:sz w:val="22"/>
      <w:szCs w:val="22"/>
      <w14:ligatures w14:val="none"/>
    </w:rPr>
  </w:style>
  <w:style w:type="character" w:styleId="Hyperlink">
    <w:name w:val="Hyperlink"/>
    <w:basedOn w:val="DefaultParagraphFont"/>
    <w:uiPriority w:val="99"/>
    <w:unhideWhenUsed/>
    <w:rsid w:val="001A636C"/>
    <w:rPr>
      <w:color w:val="0563C1" w:themeColor="hyperlink"/>
      <w:u w:val="single"/>
    </w:rPr>
  </w:style>
  <w:style w:type="table" w:styleId="TableGrid">
    <w:name w:val="Table Grid"/>
    <w:basedOn w:val="TableNormal"/>
    <w:uiPriority w:val="39"/>
    <w:rsid w:val="004D7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2A94"/>
    <w:rPr>
      <w:color w:val="605E5C"/>
      <w:shd w:val="clear" w:color="auto" w:fill="E1DFDD"/>
    </w:rPr>
  </w:style>
  <w:style w:type="character" w:customStyle="1" w:styleId="mark14y28aenv">
    <w:name w:val="mark14y28aenv"/>
    <w:basedOn w:val="DefaultParagraphFont"/>
    <w:rsid w:val="0053726D"/>
  </w:style>
  <w:style w:type="paragraph" w:styleId="NormalWeb">
    <w:name w:val="Normal (Web)"/>
    <w:basedOn w:val="Normal"/>
    <w:uiPriority w:val="99"/>
    <w:unhideWhenUsed/>
    <w:rsid w:val="00C774B4"/>
    <w:pPr>
      <w:spacing w:before="100" w:beforeAutospacing="1" w:after="100" w:afterAutospacing="1"/>
    </w:pPr>
  </w:style>
  <w:style w:type="paragraph" w:styleId="FootnoteText">
    <w:name w:val="footnote text"/>
    <w:aliases w:val="Footnote,Text,Footnote Text Char Char Char Char Char Char Char,Footnote Text Char Char Char Char Char Char,Footnote Text Char Char Char Char Char Char Char Char Char Char Char Char Char Char Char Char Char,single space Char,single space"/>
    <w:basedOn w:val="Normal"/>
    <w:link w:val="FootnoteTextChar"/>
    <w:uiPriority w:val="99"/>
    <w:unhideWhenUsed/>
    <w:rsid w:val="0033344F"/>
    <w:rPr>
      <w:sz w:val="20"/>
      <w:szCs w:val="20"/>
    </w:rPr>
  </w:style>
  <w:style w:type="character" w:customStyle="1" w:styleId="FootnoteTextChar">
    <w:name w:val="Footnote Text Char"/>
    <w:aliases w:val="Footnote Char,Text Char,Footnote Text Char Char Char Char Char Char Char Char,Footnote Text Char Char Char Char Char Char Char1,Footnote Text Char Char Char Char Char Char Char Char Char Char Char Char Char Char Char Char Char Char"/>
    <w:basedOn w:val="DefaultParagraphFont"/>
    <w:link w:val="FootnoteText"/>
    <w:uiPriority w:val="99"/>
    <w:rsid w:val="0033344F"/>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B358FB"/>
    <w:pPr>
      <w:tabs>
        <w:tab w:val="center" w:pos="4513"/>
        <w:tab w:val="right" w:pos="9026"/>
      </w:tabs>
    </w:pPr>
  </w:style>
  <w:style w:type="character" w:customStyle="1" w:styleId="FooterChar">
    <w:name w:val="Footer Char"/>
    <w:basedOn w:val="DefaultParagraphFont"/>
    <w:link w:val="Footer"/>
    <w:uiPriority w:val="99"/>
    <w:rsid w:val="00B358FB"/>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B358FB"/>
  </w:style>
  <w:style w:type="character" w:styleId="HTMLCite">
    <w:name w:val="HTML Cite"/>
    <w:basedOn w:val="DefaultParagraphFont"/>
    <w:uiPriority w:val="99"/>
    <w:semiHidden/>
    <w:unhideWhenUsed/>
    <w:rsid w:val="00781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eyoursay@justice.tas.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sw.gov.au/money-and-taxes/fines-and-fees/advocates-and-sponsors/work-and-development-order-wdo-sponsors" TargetMode="External"/><Relationship Id="rId2" Type="http://schemas.openxmlformats.org/officeDocument/2006/relationships/hyperlink" Target="https://www.abc.net.au/news/2023-01-18/tas-name-and-shame-fines-publish-address-tasmania-/101868474" TargetMode="External"/><Relationship Id="rId1" Type="http://schemas.openxmlformats.org/officeDocument/2006/relationships/hyperlink" Target="https://www.justice.tas.gov.au/__data/assets/pdf_file/0007/833425/Department-of-Justice-Annual-Report-2024-25_web-accessible.pdf" TargetMode="External"/><Relationship Id="rId6" Type="http://schemas.openxmlformats.org/officeDocument/2006/relationships/hyperlink" Target="http://www.utas.edu.au/__data/assets/pdf_file/0004/283810/completeA4.pdf" TargetMode="External"/><Relationship Id="rId5" Type="http://schemas.openxmlformats.org/officeDocument/2006/relationships/hyperlink" Target="https://www.justice.tas.gov.au/communitycorrections/orders/community-service/about-community-service-orders" TargetMode="External"/><Relationship Id="rId4" Type="http://schemas.openxmlformats.org/officeDocument/2006/relationships/hyperlink" Target="https://online.fines.vic.gov.au/Support/Work-and-Development-Pe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2167</Words>
  <Characters>10556</Characters>
  <Application>Microsoft Office Word</Application>
  <DocSecurity>0</DocSecurity>
  <Lines>390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Bartl</dc:creator>
  <cp:keywords/>
  <dc:description/>
  <cp:lastModifiedBy>Benedict Bartl</cp:lastModifiedBy>
  <cp:revision>2</cp:revision>
  <cp:lastPrinted>2026-04-17T06:05:00Z</cp:lastPrinted>
  <dcterms:created xsi:type="dcterms:W3CDTF">2026-04-17T06:23:00Z</dcterms:created>
  <dcterms:modified xsi:type="dcterms:W3CDTF">2026-04-17T06:23:00Z</dcterms:modified>
</cp:coreProperties>
</file>